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A9EFE" w14:textId="6C66AED4" w:rsidR="00532553" w:rsidRPr="00A438BA" w:rsidRDefault="00532553" w:rsidP="00532553">
      <w:pPr>
        <w:rPr>
          <w:b/>
          <w:bCs/>
          <w:sz w:val="28"/>
          <w:szCs w:val="28"/>
          <w:u w:val="single"/>
        </w:rPr>
      </w:pPr>
      <w:r w:rsidRPr="00A438BA">
        <w:rPr>
          <w:b/>
          <w:bCs/>
          <w:sz w:val="28"/>
          <w:szCs w:val="28"/>
          <w:u w:val="single"/>
        </w:rPr>
        <w:t>NHS GM</w:t>
      </w:r>
      <w:r w:rsidR="009159C6" w:rsidRPr="00A438BA">
        <w:rPr>
          <w:b/>
          <w:bCs/>
          <w:sz w:val="28"/>
          <w:szCs w:val="28"/>
          <w:u w:val="single"/>
        </w:rPr>
        <w:t xml:space="preserve"> ICB</w:t>
      </w:r>
      <w:r w:rsidRPr="00A438BA">
        <w:rPr>
          <w:b/>
          <w:bCs/>
          <w:sz w:val="28"/>
          <w:szCs w:val="28"/>
          <w:u w:val="single"/>
        </w:rPr>
        <w:t xml:space="preserve"> </w:t>
      </w:r>
      <w:r w:rsidR="009159C6" w:rsidRPr="00A438BA">
        <w:rPr>
          <w:b/>
          <w:bCs/>
          <w:sz w:val="28"/>
          <w:szCs w:val="28"/>
          <w:u w:val="single"/>
        </w:rPr>
        <w:t>(</w:t>
      </w:r>
      <w:r w:rsidRPr="00A438BA">
        <w:rPr>
          <w:b/>
          <w:bCs/>
          <w:sz w:val="28"/>
          <w:szCs w:val="28"/>
          <w:u w:val="single"/>
        </w:rPr>
        <w:t>Bury</w:t>
      </w:r>
      <w:r w:rsidR="009159C6" w:rsidRPr="00A438BA">
        <w:rPr>
          <w:b/>
          <w:bCs/>
          <w:sz w:val="28"/>
          <w:szCs w:val="28"/>
          <w:u w:val="single"/>
        </w:rPr>
        <w:t>)</w:t>
      </w:r>
      <w:r w:rsidRPr="00A438BA">
        <w:rPr>
          <w:b/>
          <w:bCs/>
          <w:sz w:val="28"/>
          <w:szCs w:val="28"/>
          <w:u w:val="single"/>
        </w:rPr>
        <w:t xml:space="preserve"> and L</w:t>
      </w:r>
      <w:r w:rsidR="009159C6" w:rsidRPr="00A438BA">
        <w:rPr>
          <w:b/>
          <w:bCs/>
          <w:sz w:val="28"/>
          <w:szCs w:val="28"/>
          <w:u w:val="single"/>
        </w:rPr>
        <w:t xml:space="preserve">ocal </w:t>
      </w:r>
      <w:r w:rsidRPr="00A438BA">
        <w:rPr>
          <w:b/>
          <w:bCs/>
          <w:sz w:val="28"/>
          <w:szCs w:val="28"/>
          <w:u w:val="single"/>
        </w:rPr>
        <w:t>A</w:t>
      </w:r>
      <w:r w:rsidR="009159C6" w:rsidRPr="00A438BA">
        <w:rPr>
          <w:b/>
          <w:bCs/>
          <w:sz w:val="28"/>
          <w:szCs w:val="28"/>
          <w:u w:val="single"/>
        </w:rPr>
        <w:t>uthority</w:t>
      </w:r>
      <w:r w:rsidRPr="00A438BA">
        <w:rPr>
          <w:b/>
          <w:bCs/>
          <w:sz w:val="28"/>
          <w:szCs w:val="28"/>
          <w:u w:val="single"/>
        </w:rPr>
        <w:t xml:space="preserve"> Joint Funding Policy</w:t>
      </w:r>
    </w:p>
    <w:p w14:paraId="61427773" w14:textId="77777777" w:rsidR="00532553" w:rsidRPr="00AC7492" w:rsidRDefault="00532553" w:rsidP="00532553">
      <w:pPr>
        <w:rPr>
          <w:b/>
          <w:bCs/>
        </w:rPr>
      </w:pPr>
    </w:p>
    <w:p w14:paraId="4DED564F" w14:textId="77777777" w:rsidR="00532553" w:rsidRPr="00335887" w:rsidRDefault="00532553" w:rsidP="004F2FCA">
      <w:pPr>
        <w:jc w:val="both"/>
        <w:rPr>
          <w:rFonts w:ascii="Arial" w:hAnsi="Arial" w:cs="Arial"/>
          <w:b/>
          <w:bCs/>
        </w:rPr>
      </w:pPr>
      <w:r w:rsidRPr="00335887">
        <w:rPr>
          <w:rFonts w:ascii="Arial" w:hAnsi="Arial" w:cs="Arial"/>
          <w:b/>
          <w:bCs/>
        </w:rPr>
        <w:t>1.</w:t>
      </w:r>
      <w:r w:rsidRPr="00335887">
        <w:rPr>
          <w:rFonts w:ascii="Arial" w:hAnsi="Arial" w:cs="Arial"/>
          <w:b/>
          <w:bCs/>
        </w:rPr>
        <w:tab/>
        <w:t>Introduction</w:t>
      </w:r>
    </w:p>
    <w:p w14:paraId="3572193D" w14:textId="3C37238F" w:rsidR="0031329B" w:rsidRPr="00335887" w:rsidRDefault="00532553" w:rsidP="004F2FCA">
      <w:pPr>
        <w:jc w:val="both"/>
        <w:rPr>
          <w:rFonts w:ascii="Arial" w:hAnsi="Arial" w:cs="Arial"/>
        </w:rPr>
      </w:pPr>
      <w:r w:rsidRPr="00335887">
        <w:rPr>
          <w:rFonts w:ascii="Arial" w:hAnsi="Arial" w:cs="Arial"/>
        </w:rPr>
        <w:t xml:space="preserve">The National Framework for NHS Continuing Healthcare (CHC) &amp; Funded Nursing Care (FNC) July 2022 (Revised) defines </w:t>
      </w:r>
      <w:r w:rsidR="0031329B" w:rsidRPr="00335887">
        <w:rPr>
          <w:rFonts w:ascii="Arial" w:hAnsi="Arial" w:cs="Arial"/>
        </w:rPr>
        <w:t xml:space="preserve">NHS </w:t>
      </w:r>
      <w:r w:rsidRPr="00335887">
        <w:rPr>
          <w:rFonts w:ascii="Arial" w:hAnsi="Arial" w:cs="Arial"/>
        </w:rPr>
        <w:t>C</w:t>
      </w:r>
      <w:r w:rsidR="0031329B" w:rsidRPr="00335887">
        <w:rPr>
          <w:rFonts w:ascii="Arial" w:hAnsi="Arial" w:cs="Arial"/>
        </w:rPr>
        <w:t xml:space="preserve">HC </w:t>
      </w:r>
      <w:r w:rsidRPr="00335887">
        <w:rPr>
          <w:rFonts w:ascii="Arial" w:hAnsi="Arial" w:cs="Arial"/>
        </w:rPr>
        <w:t>are as</w:t>
      </w:r>
      <w:r w:rsidR="0031329B" w:rsidRPr="00335887">
        <w:rPr>
          <w:rFonts w:ascii="Arial" w:hAnsi="Arial" w:cs="Arial"/>
        </w:rPr>
        <w:t xml:space="preserve"> a package of care for adults aged 18 or over which is arranged and funded solely by the NHS. In order to receive NHS CHC funding individuals, have to be assessed by integrated commissioning boards (ICBs) according to a legally prescribed decision-making process to determine whether the individual has a ‘primary health need’.</w:t>
      </w:r>
      <w:r w:rsidR="0031329B" w:rsidRPr="00335887">
        <w:rPr>
          <w:rStyle w:val="FootnoteReference"/>
          <w:rFonts w:ascii="Arial" w:hAnsi="Arial" w:cs="Arial"/>
        </w:rPr>
        <w:footnoteReference w:id="1"/>
      </w:r>
    </w:p>
    <w:p w14:paraId="3276EE9F" w14:textId="4E00721E" w:rsidR="00532553" w:rsidRPr="00335887" w:rsidRDefault="00532553" w:rsidP="004F2FCA">
      <w:pPr>
        <w:jc w:val="both"/>
        <w:rPr>
          <w:rFonts w:ascii="Arial" w:hAnsi="Arial" w:cs="Arial"/>
        </w:rPr>
      </w:pPr>
      <w:r w:rsidRPr="00335887">
        <w:rPr>
          <w:rFonts w:ascii="Arial" w:hAnsi="Arial" w:cs="Arial"/>
        </w:rPr>
        <w:t>It advises that in instances when a person is not eligible for NHS C</w:t>
      </w:r>
      <w:r w:rsidR="0031329B" w:rsidRPr="00335887">
        <w:rPr>
          <w:rFonts w:ascii="Arial" w:hAnsi="Arial" w:cs="Arial"/>
        </w:rPr>
        <w:t>HC</w:t>
      </w:r>
      <w:r w:rsidRPr="00335887">
        <w:rPr>
          <w:rFonts w:ascii="Arial" w:hAnsi="Arial" w:cs="Arial"/>
        </w:rPr>
        <w:t xml:space="preserve">, they may potentially receive a joint package of health and social care. This is where an individual’s care or support package is funded by both the NHS and the </w:t>
      </w:r>
      <w:r w:rsidR="0031329B" w:rsidRPr="00335887">
        <w:rPr>
          <w:rFonts w:ascii="Arial" w:hAnsi="Arial" w:cs="Arial"/>
        </w:rPr>
        <w:t>L</w:t>
      </w:r>
      <w:r w:rsidRPr="00335887">
        <w:rPr>
          <w:rFonts w:ascii="Arial" w:hAnsi="Arial" w:cs="Arial"/>
        </w:rPr>
        <w:t xml:space="preserve">ocal </w:t>
      </w:r>
      <w:r w:rsidR="0031329B" w:rsidRPr="00335887">
        <w:rPr>
          <w:rFonts w:ascii="Arial" w:hAnsi="Arial" w:cs="Arial"/>
        </w:rPr>
        <w:t>A</w:t>
      </w:r>
      <w:r w:rsidRPr="00335887">
        <w:rPr>
          <w:rFonts w:ascii="Arial" w:hAnsi="Arial" w:cs="Arial"/>
        </w:rPr>
        <w:t>uthority</w:t>
      </w:r>
      <w:r w:rsidR="0031329B" w:rsidRPr="00335887">
        <w:rPr>
          <w:rFonts w:ascii="Arial" w:hAnsi="Arial" w:cs="Arial"/>
        </w:rPr>
        <w:t>.</w:t>
      </w:r>
    </w:p>
    <w:p w14:paraId="6502A1BB" w14:textId="58D70E38" w:rsidR="00532553" w:rsidRPr="00335887" w:rsidRDefault="00532553" w:rsidP="004F2FCA">
      <w:pPr>
        <w:jc w:val="both"/>
        <w:rPr>
          <w:rFonts w:ascii="Arial" w:hAnsi="Arial" w:cs="Arial"/>
        </w:rPr>
      </w:pPr>
      <w:r w:rsidRPr="00335887">
        <w:rPr>
          <w:rFonts w:ascii="Arial" w:hAnsi="Arial" w:cs="Arial"/>
        </w:rPr>
        <w:t xml:space="preserve">Joint funding may apply where there are no existing commissioned services available to meet specific identified needs, and where these specific needs are beyond the powers of the </w:t>
      </w:r>
      <w:r w:rsidR="0031329B" w:rsidRPr="00335887">
        <w:rPr>
          <w:rFonts w:ascii="Arial" w:hAnsi="Arial" w:cs="Arial"/>
        </w:rPr>
        <w:t>L</w:t>
      </w:r>
      <w:r w:rsidRPr="00335887">
        <w:rPr>
          <w:rFonts w:ascii="Arial" w:hAnsi="Arial" w:cs="Arial"/>
        </w:rPr>
        <w:t xml:space="preserve">ocal </w:t>
      </w:r>
      <w:r w:rsidR="0031329B" w:rsidRPr="00335887">
        <w:rPr>
          <w:rFonts w:ascii="Arial" w:hAnsi="Arial" w:cs="Arial"/>
        </w:rPr>
        <w:t>A</w:t>
      </w:r>
      <w:r w:rsidRPr="00335887">
        <w:rPr>
          <w:rFonts w:ascii="Arial" w:hAnsi="Arial" w:cs="Arial"/>
        </w:rPr>
        <w:t xml:space="preserve">uthority to meet i.e., the specific needs are not of a nature that a </w:t>
      </w:r>
      <w:r w:rsidR="0031329B" w:rsidRPr="00335887">
        <w:rPr>
          <w:rFonts w:ascii="Arial" w:hAnsi="Arial" w:cs="Arial"/>
        </w:rPr>
        <w:t>L</w:t>
      </w:r>
      <w:r w:rsidRPr="00335887">
        <w:rPr>
          <w:rFonts w:ascii="Arial" w:hAnsi="Arial" w:cs="Arial"/>
        </w:rPr>
        <w:t xml:space="preserve">ocal </w:t>
      </w:r>
      <w:r w:rsidR="0031329B" w:rsidRPr="00335887">
        <w:rPr>
          <w:rFonts w:ascii="Arial" w:hAnsi="Arial" w:cs="Arial"/>
        </w:rPr>
        <w:t>A</w:t>
      </w:r>
      <w:r w:rsidRPr="00335887">
        <w:rPr>
          <w:rFonts w:ascii="Arial" w:hAnsi="Arial" w:cs="Arial"/>
        </w:rPr>
        <w:t>uthority could be expected to meet or are not incidental or ancillary to care needs that the Local Authority would provide under sections 18-20 of the Care Act 2014.</w:t>
      </w:r>
      <w:r w:rsidR="0031329B" w:rsidRPr="00335887">
        <w:rPr>
          <w:rStyle w:val="FootnoteReference"/>
          <w:rFonts w:ascii="Arial" w:hAnsi="Arial" w:cs="Arial"/>
        </w:rPr>
        <w:footnoteReference w:id="2"/>
      </w:r>
      <w:r w:rsidR="00815871" w:rsidRPr="00335887">
        <w:rPr>
          <w:rFonts w:ascii="Arial" w:hAnsi="Arial" w:cs="Arial"/>
        </w:rPr>
        <w:t xml:space="preserve"> This is also stated in section 22 of the Care Act 2014.</w:t>
      </w:r>
      <w:r w:rsidR="00815871" w:rsidRPr="00335887">
        <w:rPr>
          <w:rStyle w:val="FootnoteReference"/>
          <w:rFonts w:ascii="Arial" w:hAnsi="Arial" w:cs="Arial"/>
        </w:rPr>
        <w:footnoteReference w:id="3"/>
      </w:r>
    </w:p>
    <w:p w14:paraId="65152EB5" w14:textId="352085F9" w:rsidR="007809E6" w:rsidRPr="00335887" w:rsidRDefault="007809E6" w:rsidP="004F2FCA">
      <w:pPr>
        <w:jc w:val="both"/>
        <w:rPr>
          <w:rFonts w:ascii="Arial" w:hAnsi="Arial" w:cs="Arial"/>
        </w:rPr>
      </w:pPr>
      <w:r w:rsidRPr="00335887">
        <w:rPr>
          <w:rFonts w:ascii="Arial" w:hAnsi="Arial" w:cs="Arial"/>
        </w:rPr>
        <w:t>J</w:t>
      </w:r>
      <w:r w:rsidR="00532553" w:rsidRPr="00335887">
        <w:rPr>
          <w:rFonts w:ascii="Arial" w:hAnsi="Arial" w:cs="Arial"/>
        </w:rPr>
        <w:t>oint funding can be provided in any setting</w:t>
      </w:r>
      <w:r w:rsidRPr="00335887">
        <w:rPr>
          <w:rFonts w:ascii="Arial" w:hAnsi="Arial" w:cs="Arial"/>
        </w:rPr>
        <w:t>; e</w:t>
      </w:r>
      <w:r w:rsidR="00532553" w:rsidRPr="00335887">
        <w:rPr>
          <w:rFonts w:ascii="Arial" w:hAnsi="Arial" w:cs="Arial"/>
        </w:rPr>
        <w:t>xamples can include:</w:t>
      </w:r>
      <w:r w:rsidR="00532553" w:rsidRPr="00335887">
        <w:rPr>
          <w:rFonts w:ascii="Arial" w:hAnsi="Arial" w:cs="Arial"/>
        </w:rPr>
        <w:tab/>
      </w:r>
    </w:p>
    <w:p w14:paraId="6DBF5369" w14:textId="715F3CA2" w:rsidR="00532553" w:rsidRPr="00335887" w:rsidRDefault="00532553" w:rsidP="007809E6">
      <w:pPr>
        <w:pStyle w:val="ListParagraph"/>
        <w:numPr>
          <w:ilvl w:val="0"/>
          <w:numId w:val="7"/>
        </w:numPr>
        <w:jc w:val="both"/>
        <w:rPr>
          <w:rFonts w:ascii="Arial" w:hAnsi="Arial" w:cs="Arial"/>
        </w:rPr>
      </w:pPr>
      <w:r w:rsidRPr="00335887">
        <w:rPr>
          <w:rFonts w:ascii="Arial" w:hAnsi="Arial" w:cs="Arial"/>
        </w:rPr>
        <w:t>an individual in their own home with a package of support comprising both health and social care elements</w:t>
      </w:r>
      <w:r w:rsidR="007809E6" w:rsidRPr="00335887">
        <w:rPr>
          <w:rFonts w:ascii="Arial" w:hAnsi="Arial" w:cs="Arial"/>
        </w:rPr>
        <w:t>.</w:t>
      </w:r>
    </w:p>
    <w:p w14:paraId="5FEFE285" w14:textId="65405DE6" w:rsidR="00532553" w:rsidRPr="00335887" w:rsidRDefault="00532553" w:rsidP="007809E6">
      <w:pPr>
        <w:pStyle w:val="ListParagraph"/>
        <w:numPr>
          <w:ilvl w:val="0"/>
          <w:numId w:val="7"/>
        </w:numPr>
        <w:jc w:val="both"/>
        <w:rPr>
          <w:rFonts w:ascii="Arial" w:hAnsi="Arial" w:cs="Arial"/>
        </w:rPr>
      </w:pPr>
      <w:r w:rsidRPr="00335887">
        <w:rPr>
          <w:rFonts w:ascii="Arial" w:hAnsi="Arial" w:cs="Arial"/>
        </w:rPr>
        <w:t>an individual in a care home (with nursing) who has nursing or other health needs, that are beyond the scope of the FNC contribution</w:t>
      </w:r>
      <w:r w:rsidR="007809E6" w:rsidRPr="00335887">
        <w:rPr>
          <w:rFonts w:ascii="Arial" w:hAnsi="Arial" w:cs="Arial"/>
        </w:rPr>
        <w:t>.</w:t>
      </w:r>
    </w:p>
    <w:p w14:paraId="636735F4" w14:textId="2D27EDC1" w:rsidR="00532553" w:rsidRPr="00335887" w:rsidRDefault="00532553" w:rsidP="004F2FCA">
      <w:pPr>
        <w:pStyle w:val="ListParagraph"/>
        <w:numPr>
          <w:ilvl w:val="0"/>
          <w:numId w:val="7"/>
        </w:numPr>
        <w:jc w:val="both"/>
        <w:rPr>
          <w:rFonts w:ascii="Arial" w:hAnsi="Arial" w:cs="Arial"/>
        </w:rPr>
      </w:pPr>
      <w:r w:rsidRPr="00335887">
        <w:rPr>
          <w:rFonts w:ascii="Arial" w:hAnsi="Arial" w:cs="Arial"/>
        </w:rPr>
        <w:t>an individual in a care home (without nursing) who has some specific health needs requiring skilled intervention or support, that cannot be met by community nursing services and are beyond the power of the local authority to meet.</w:t>
      </w:r>
    </w:p>
    <w:p w14:paraId="098DC21D" w14:textId="56AA804E" w:rsidR="00532553" w:rsidRPr="00335887" w:rsidRDefault="00532553" w:rsidP="004F2FCA">
      <w:pPr>
        <w:jc w:val="both"/>
        <w:rPr>
          <w:rFonts w:ascii="Arial" w:hAnsi="Arial" w:cs="Arial"/>
        </w:rPr>
      </w:pPr>
      <w:r w:rsidRPr="00335887">
        <w:rPr>
          <w:rFonts w:ascii="Arial" w:hAnsi="Arial" w:cs="Arial"/>
        </w:rPr>
        <w:t>There may also be instances where an individual may be entitled to a jointly funded package of care when it would not be appropriate to assess them for NHS C</w:t>
      </w:r>
      <w:r w:rsidR="007809E6" w:rsidRPr="00335887">
        <w:rPr>
          <w:rFonts w:ascii="Arial" w:hAnsi="Arial" w:cs="Arial"/>
        </w:rPr>
        <w:t>HC; examples</w:t>
      </w:r>
      <w:r w:rsidRPr="00335887">
        <w:rPr>
          <w:rFonts w:ascii="Arial" w:hAnsi="Arial" w:cs="Arial"/>
        </w:rPr>
        <w:t xml:space="preserve"> can include:</w:t>
      </w:r>
    </w:p>
    <w:p w14:paraId="1E5C784D" w14:textId="1411BE19" w:rsidR="00532553" w:rsidRPr="00335887" w:rsidRDefault="00532553" w:rsidP="007809E6">
      <w:pPr>
        <w:pStyle w:val="ListParagraph"/>
        <w:numPr>
          <w:ilvl w:val="0"/>
          <w:numId w:val="8"/>
        </w:numPr>
        <w:jc w:val="both"/>
        <w:rPr>
          <w:rFonts w:ascii="Arial" w:hAnsi="Arial" w:cs="Arial"/>
        </w:rPr>
      </w:pPr>
      <w:r w:rsidRPr="00335887">
        <w:rPr>
          <w:rFonts w:ascii="Arial" w:hAnsi="Arial" w:cs="Arial"/>
        </w:rPr>
        <w:t xml:space="preserve">those assessed as being eligible for </w:t>
      </w:r>
      <w:r w:rsidR="007809E6" w:rsidRPr="00335887">
        <w:rPr>
          <w:rFonts w:ascii="Arial" w:hAnsi="Arial" w:cs="Arial"/>
        </w:rPr>
        <w:t xml:space="preserve">Mental Health </w:t>
      </w:r>
      <w:r w:rsidRPr="00335887">
        <w:rPr>
          <w:rFonts w:ascii="Arial" w:hAnsi="Arial" w:cs="Arial"/>
        </w:rPr>
        <w:t>S117 aftercare</w:t>
      </w:r>
      <w:r w:rsidR="007809E6" w:rsidRPr="00335887">
        <w:rPr>
          <w:rFonts w:ascii="Arial" w:hAnsi="Arial" w:cs="Arial"/>
        </w:rPr>
        <w:t>.</w:t>
      </w:r>
      <w:r w:rsidR="007809E6" w:rsidRPr="00335887">
        <w:rPr>
          <w:rStyle w:val="FootnoteReference"/>
          <w:rFonts w:ascii="Arial" w:hAnsi="Arial" w:cs="Arial"/>
        </w:rPr>
        <w:footnoteReference w:id="4"/>
      </w:r>
      <w:r w:rsidRPr="00335887">
        <w:rPr>
          <w:rFonts w:ascii="Arial" w:hAnsi="Arial" w:cs="Arial"/>
        </w:rPr>
        <w:t xml:space="preserve"> </w:t>
      </w:r>
    </w:p>
    <w:p w14:paraId="5C7FEA6D" w14:textId="160ADF49" w:rsidR="00532553" w:rsidRPr="00335887" w:rsidRDefault="00532553" w:rsidP="007809E6">
      <w:pPr>
        <w:pStyle w:val="ListParagraph"/>
        <w:numPr>
          <w:ilvl w:val="0"/>
          <w:numId w:val="8"/>
        </w:numPr>
        <w:jc w:val="both"/>
        <w:rPr>
          <w:rFonts w:ascii="Arial" w:hAnsi="Arial" w:cs="Arial"/>
        </w:rPr>
      </w:pPr>
      <w:r w:rsidRPr="00335887">
        <w:rPr>
          <w:rFonts w:ascii="Arial" w:hAnsi="Arial" w:cs="Arial"/>
        </w:rPr>
        <w:t>those whose long-term needs have not yet been established but need an increase/change of package</w:t>
      </w:r>
      <w:r w:rsidR="007809E6" w:rsidRPr="00335887">
        <w:rPr>
          <w:rFonts w:ascii="Arial" w:hAnsi="Arial" w:cs="Arial"/>
        </w:rPr>
        <w:t>.</w:t>
      </w:r>
    </w:p>
    <w:p w14:paraId="32514A3D" w14:textId="7F0CA16A" w:rsidR="00532553" w:rsidRPr="00335887" w:rsidRDefault="007809E6" w:rsidP="007809E6">
      <w:pPr>
        <w:pStyle w:val="ListParagraph"/>
        <w:numPr>
          <w:ilvl w:val="0"/>
          <w:numId w:val="8"/>
        </w:numPr>
        <w:jc w:val="both"/>
        <w:rPr>
          <w:rFonts w:ascii="Arial" w:hAnsi="Arial" w:cs="Arial"/>
        </w:rPr>
      </w:pPr>
      <w:r w:rsidRPr="00335887">
        <w:rPr>
          <w:rFonts w:ascii="Arial" w:hAnsi="Arial" w:cs="Arial"/>
        </w:rPr>
        <w:t>c</w:t>
      </w:r>
      <w:r w:rsidR="00532553" w:rsidRPr="00335887">
        <w:rPr>
          <w:rFonts w:ascii="Arial" w:hAnsi="Arial" w:cs="Arial"/>
        </w:rPr>
        <w:t xml:space="preserve">hildren and </w:t>
      </w:r>
      <w:r w:rsidRPr="00335887">
        <w:rPr>
          <w:rFonts w:ascii="Arial" w:hAnsi="Arial" w:cs="Arial"/>
        </w:rPr>
        <w:t>y</w:t>
      </w:r>
      <w:r w:rsidR="00532553" w:rsidRPr="00335887">
        <w:rPr>
          <w:rFonts w:ascii="Arial" w:hAnsi="Arial" w:cs="Arial"/>
        </w:rPr>
        <w:t xml:space="preserve">oung </w:t>
      </w:r>
      <w:r w:rsidRPr="00335887">
        <w:rPr>
          <w:rFonts w:ascii="Arial" w:hAnsi="Arial" w:cs="Arial"/>
        </w:rPr>
        <w:t>p</w:t>
      </w:r>
      <w:r w:rsidR="00532553" w:rsidRPr="00335887">
        <w:rPr>
          <w:rFonts w:ascii="Arial" w:hAnsi="Arial" w:cs="Arial"/>
        </w:rPr>
        <w:t>eople</w:t>
      </w:r>
      <w:r w:rsidRPr="00335887">
        <w:rPr>
          <w:rFonts w:ascii="Arial" w:hAnsi="Arial" w:cs="Arial"/>
        </w:rPr>
        <w:t xml:space="preserve"> </w:t>
      </w:r>
      <w:r w:rsidR="00532553" w:rsidRPr="00335887">
        <w:rPr>
          <w:rFonts w:ascii="Arial" w:hAnsi="Arial" w:cs="Arial"/>
        </w:rPr>
        <w:t xml:space="preserve">- this policy does not cover </w:t>
      </w:r>
      <w:r w:rsidRPr="00335887">
        <w:rPr>
          <w:rFonts w:ascii="Arial" w:hAnsi="Arial" w:cs="Arial"/>
        </w:rPr>
        <w:t>c</w:t>
      </w:r>
      <w:r w:rsidR="00532553" w:rsidRPr="00335887">
        <w:rPr>
          <w:rFonts w:ascii="Arial" w:hAnsi="Arial" w:cs="Arial"/>
        </w:rPr>
        <w:t xml:space="preserve">hildren and </w:t>
      </w:r>
      <w:r w:rsidRPr="00335887">
        <w:rPr>
          <w:rFonts w:ascii="Arial" w:hAnsi="Arial" w:cs="Arial"/>
        </w:rPr>
        <w:t>y</w:t>
      </w:r>
      <w:r w:rsidR="00532553" w:rsidRPr="00335887">
        <w:rPr>
          <w:rFonts w:ascii="Arial" w:hAnsi="Arial" w:cs="Arial"/>
        </w:rPr>
        <w:t xml:space="preserve">oung </w:t>
      </w:r>
      <w:r w:rsidRPr="00335887">
        <w:rPr>
          <w:rFonts w:ascii="Arial" w:hAnsi="Arial" w:cs="Arial"/>
        </w:rPr>
        <w:t>p</w:t>
      </w:r>
      <w:r w:rsidR="00532553" w:rsidRPr="00335887">
        <w:rPr>
          <w:rFonts w:ascii="Arial" w:hAnsi="Arial" w:cs="Arial"/>
        </w:rPr>
        <w:t>eople please refer to</w:t>
      </w:r>
      <w:r w:rsidRPr="00335887">
        <w:rPr>
          <w:rFonts w:ascii="Arial" w:hAnsi="Arial" w:cs="Arial"/>
        </w:rPr>
        <w:t xml:space="preserve"> the NHSCM ICB (Bury) and Bury CSC policy (2025).</w:t>
      </w:r>
    </w:p>
    <w:p w14:paraId="7399DC8D" w14:textId="77777777" w:rsidR="00532553" w:rsidRPr="00335887" w:rsidRDefault="00532553" w:rsidP="004F2FCA">
      <w:pPr>
        <w:jc w:val="both"/>
        <w:rPr>
          <w:rFonts w:ascii="Arial" w:hAnsi="Arial" w:cs="Arial"/>
        </w:rPr>
      </w:pPr>
    </w:p>
    <w:p w14:paraId="70AEF79E" w14:textId="77777777" w:rsidR="00532553" w:rsidRPr="00335887" w:rsidRDefault="00532553" w:rsidP="004F2FCA">
      <w:pPr>
        <w:jc w:val="both"/>
        <w:rPr>
          <w:rFonts w:ascii="Arial" w:hAnsi="Arial" w:cs="Arial"/>
        </w:rPr>
      </w:pPr>
    </w:p>
    <w:p w14:paraId="035E65E8" w14:textId="77777777" w:rsidR="00532553" w:rsidRPr="00335887" w:rsidRDefault="00532553" w:rsidP="004F2FCA">
      <w:pPr>
        <w:jc w:val="both"/>
        <w:rPr>
          <w:rFonts w:ascii="Arial" w:hAnsi="Arial" w:cs="Arial"/>
        </w:rPr>
      </w:pPr>
    </w:p>
    <w:p w14:paraId="57783259" w14:textId="19B43508" w:rsidR="00532553" w:rsidRPr="00335887" w:rsidRDefault="007809E6" w:rsidP="004F2FCA">
      <w:pPr>
        <w:jc w:val="both"/>
        <w:rPr>
          <w:rFonts w:ascii="Arial" w:hAnsi="Arial" w:cs="Arial"/>
          <w:b/>
          <w:bCs/>
        </w:rPr>
      </w:pPr>
      <w:r w:rsidRPr="00335887">
        <w:rPr>
          <w:rFonts w:ascii="Arial" w:hAnsi="Arial" w:cs="Arial"/>
          <w:b/>
          <w:bCs/>
        </w:rPr>
        <w:t>2.</w:t>
      </w:r>
      <w:r w:rsidRPr="00335887">
        <w:rPr>
          <w:rFonts w:ascii="Arial" w:hAnsi="Arial" w:cs="Arial"/>
          <w:b/>
          <w:bCs/>
        </w:rPr>
        <w:tab/>
      </w:r>
      <w:r w:rsidR="00532553" w:rsidRPr="00335887">
        <w:rPr>
          <w:rFonts w:ascii="Arial" w:hAnsi="Arial" w:cs="Arial"/>
          <w:b/>
          <w:bCs/>
        </w:rPr>
        <w:t>Background</w:t>
      </w:r>
    </w:p>
    <w:p w14:paraId="39305B98" w14:textId="412BCE49" w:rsidR="00532553" w:rsidRPr="00335887" w:rsidRDefault="00532553" w:rsidP="004F2FCA">
      <w:pPr>
        <w:jc w:val="both"/>
        <w:rPr>
          <w:rFonts w:ascii="Arial" w:hAnsi="Arial" w:cs="Arial"/>
        </w:rPr>
      </w:pPr>
      <w:r w:rsidRPr="00335887">
        <w:rPr>
          <w:rFonts w:ascii="Arial" w:hAnsi="Arial" w:cs="Arial"/>
        </w:rPr>
        <w:t>Greater Manchester ICB was established in July 2022 and brought together the 10 CCGs within its geographical area. Decision making for jointly funded individualised commissioning for packages of support remains at place base level within the Bury area by</w:t>
      </w:r>
      <w:r w:rsidR="007809E6" w:rsidRPr="00335887">
        <w:rPr>
          <w:rFonts w:ascii="Arial" w:hAnsi="Arial" w:cs="Arial"/>
        </w:rPr>
        <w:t xml:space="preserve"> NHS GMICB (Bury)</w:t>
      </w:r>
      <w:r w:rsidRPr="00335887">
        <w:rPr>
          <w:rFonts w:ascii="Arial" w:hAnsi="Arial" w:cs="Arial"/>
        </w:rPr>
        <w:t xml:space="preserve"> and </w:t>
      </w:r>
      <w:r w:rsidR="007809E6" w:rsidRPr="00335887">
        <w:rPr>
          <w:rFonts w:ascii="Arial" w:hAnsi="Arial" w:cs="Arial"/>
        </w:rPr>
        <w:t xml:space="preserve">Bury </w:t>
      </w:r>
      <w:r w:rsidRPr="00335887">
        <w:rPr>
          <w:rFonts w:ascii="Arial" w:hAnsi="Arial" w:cs="Arial"/>
        </w:rPr>
        <w:t xml:space="preserve">Local Authority. </w:t>
      </w:r>
    </w:p>
    <w:p w14:paraId="1CA2D33D" w14:textId="20B175AB" w:rsidR="009159C6" w:rsidRPr="00335887" w:rsidRDefault="00532553" w:rsidP="004F2FCA">
      <w:pPr>
        <w:jc w:val="both"/>
        <w:rPr>
          <w:rFonts w:ascii="Arial" w:hAnsi="Arial" w:cs="Arial"/>
        </w:rPr>
      </w:pPr>
      <w:r w:rsidRPr="00335887">
        <w:rPr>
          <w:rFonts w:ascii="Arial" w:hAnsi="Arial" w:cs="Arial"/>
        </w:rPr>
        <w:t xml:space="preserve">Bury have an established process for determining when individualised commissioned packages of support should be funded by more than one organization i.e., health, social care (adults and Children) and </w:t>
      </w:r>
      <w:r w:rsidR="007809E6" w:rsidRPr="00335887">
        <w:rPr>
          <w:rFonts w:ascii="Arial" w:hAnsi="Arial" w:cs="Arial"/>
        </w:rPr>
        <w:t>e</w:t>
      </w:r>
      <w:r w:rsidRPr="00335887">
        <w:rPr>
          <w:rFonts w:ascii="Arial" w:hAnsi="Arial" w:cs="Arial"/>
        </w:rPr>
        <w:t xml:space="preserve">ducation. The purpose of this agreement is to clearly set out </w:t>
      </w:r>
      <w:r w:rsidR="007809E6" w:rsidRPr="00335887">
        <w:rPr>
          <w:rFonts w:ascii="Arial" w:hAnsi="Arial" w:cs="Arial"/>
        </w:rPr>
        <w:t xml:space="preserve">the </w:t>
      </w:r>
      <w:r w:rsidRPr="00335887">
        <w:rPr>
          <w:rFonts w:ascii="Arial" w:hAnsi="Arial" w:cs="Arial"/>
        </w:rPr>
        <w:t>roles and responsibilities regarding this process</w:t>
      </w:r>
      <w:r w:rsidR="007809E6" w:rsidRPr="00335887">
        <w:rPr>
          <w:rFonts w:ascii="Arial" w:hAnsi="Arial" w:cs="Arial"/>
        </w:rPr>
        <w:t xml:space="preserve"> to ensure patients and families have a good experience of decision making locally.</w:t>
      </w:r>
    </w:p>
    <w:p w14:paraId="3E859CA2" w14:textId="2AC8F192" w:rsidR="00532553" w:rsidRPr="00335887" w:rsidRDefault="00532553" w:rsidP="004F2FCA">
      <w:pPr>
        <w:jc w:val="both"/>
        <w:rPr>
          <w:rFonts w:ascii="Arial" w:hAnsi="Arial" w:cs="Arial"/>
          <w:b/>
          <w:bCs/>
        </w:rPr>
      </w:pPr>
      <w:r w:rsidRPr="00335887">
        <w:rPr>
          <w:rFonts w:ascii="Arial" w:hAnsi="Arial" w:cs="Arial"/>
          <w:b/>
          <w:bCs/>
        </w:rPr>
        <w:t>3</w:t>
      </w:r>
      <w:r w:rsidR="00F86331" w:rsidRPr="00335887">
        <w:rPr>
          <w:rFonts w:ascii="Arial" w:hAnsi="Arial" w:cs="Arial"/>
          <w:b/>
          <w:bCs/>
        </w:rPr>
        <w:t>.</w:t>
      </w:r>
      <w:r w:rsidR="00F86331" w:rsidRPr="00335887">
        <w:rPr>
          <w:rFonts w:ascii="Arial" w:hAnsi="Arial" w:cs="Arial"/>
          <w:b/>
          <w:bCs/>
        </w:rPr>
        <w:tab/>
      </w:r>
      <w:r w:rsidRPr="00335887">
        <w:rPr>
          <w:rFonts w:ascii="Arial" w:hAnsi="Arial" w:cs="Arial"/>
          <w:b/>
          <w:bCs/>
        </w:rPr>
        <w:t xml:space="preserve">Key Documents and Legislation </w:t>
      </w:r>
    </w:p>
    <w:p w14:paraId="26D6B6F7" w14:textId="41BFA53E" w:rsidR="00532553" w:rsidRPr="00335887" w:rsidRDefault="00532553" w:rsidP="004F2FCA">
      <w:pPr>
        <w:jc w:val="both"/>
        <w:rPr>
          <w:rFonts w:ascii="Arial" w:hAnsi="Arial" w:cs="Arial"/>
        </w:rPr>
      </w:pPr>
      <w:r w:rsidRPr="00335887">
        <w:rPr>
          <w:rFonts w:ascii="Arial" w:hAnsi="Arial" w:cs="Arial"/>
        </w:rPr>
        <w:t>The following documents should be considered alongside this agreement:</w:t>
      </w:r>
    </w:p>
    <w:p w14:paraId="1635D97B" w14:textId="2CE8B52F" w:rsidR="00532553" w:rsidRPr="00335887" w:rsidRDefault="00532553" w:rsidP="004F2FCA">
      <w:pPr>
        <w:jc w:val="both"/>
        <w:rPr>
          <w:rFonts w:ascii="Arial" w:hAnsi="Arial" w:cs="Arial"/>
        </w:rPr>
      </w:pPr>
      <w:r w:rsidRPr="00335887">
        <w:rPr>
          <w:rFonts w:ascii="Arial" w:hAnsi="Arial" w:cs="Arial"/>
        </w:rPr>
        <w:t>National Framework for Continuing Healthcare and Funded Nursing Care July 2022 (revised)</w:t>
      </w:r>
      <w:r w:rsidR="00F86331" w:rsidRPr="00335887">
        <w:rPr>
          <w:rFonts w:ascii="Arial" w:hAnsi="Arial" w:cs="Arial"/>
        </w:rPr>
        <w:t>.</w:t>
      </w:r>
      <w:r w:rsidRPr="00335887">
        <w:rPr>
          <w:rFonts w:ascii="Arial" w:hAnsi="Arial" w:cs="Arial"/>
        </w:rPr>
        <w:t xml:space="preserve"> https://www.gov.uk/government/publications/national-framework-for-nhs-continuing-healthcare-and-NHS-funded-nursing-care - referred to as “The Framework” throughout the document</w:t>
      </w:r>
    </w:p>
    <w:p w14:paraId="2AE4FC8E" w14:textId="5EE2AD91" w:rsidR="00532553" w:rsidRPr="00335887" w:rsidRDefault="00532553" w:rsidP="004F2FCA">
      <w:pPr>
        <w:jc w:val="both"/>
        <w:rPr>
          <w:rFonts w:ascii="Arial" w:hAnsi="Arial" w:cs="Arial"/>
        </w:rPr>
      </w:pPr>
      <w:r w:rsidRPr="00335887">
        <w:rPr>
          <w:rFonts w:ascii="Arial" w:hAnsi="Arial" w:cs="Arial"/>
        </w:rPr>
        <w:t>Care Act 2014 - https://www.legislation.gov.uk/ukpga/2014/23/contents/enacted</w:t>
      </w:r>
    </w:p>
    <w:p w14:paraId="2DB9A842" w14:textId="0A155C2F" w:rsidR="00532553" w:rsidRPr="00335887" w:rsidRDefault="00532553" w:rsidP="004F2FCA">
      <w:pPr>
        <w:jc w:val="both"/>
        <w:rPr>
          <w:rFonts w:ascii="Arial" w:hAnsi="Arial" w:cs="Arial"/>
        </w:rPr>
      </w:pPr>
      <w:r w:rsidRPr="00335887">
        <w:rPr>
          <w:rFonts w:ascii="Arial" w:hAnsi="Arial" w:cs="Arial"/>
        </w:rPr>
        <w:t>Who Pays? - June 2022- https://www.england.nhs.uk/who-pays/</w:t>
      </w:r>
    </w:p>
    <w:p w14:paraId="4678A931" w14:textId="31D7648B" w:rsidR="00532553" w:rsidRPr="00335887" w:rsidRDefault="00532553" w:rsidP="004F2FCA">
      <w:pPr>
        <w:jc w:val="both"/>
        <w:rPr>
          <w:rFonts w:ascii="Arial" w:hAnsi="Arial" w:cs="Arial"/>
        </w:rPr>
      </w:pPr>
      <w:r w:rsidRPr="00335887">
        <w:rPr>
          <w:rFonts w:ascii="Arial" w:hAnsi="Arial" w:cs="Arial"/>
        </w:rPr>
        <w:t>Mental capacity Act 2005-  https://www.legislation.gov.uk/ukpga/2005/9/contents</w:t>
      </w:r>
    </w:p>
    <w:p w14:paraId="51B38152" w14:textId="6D98F9BB" w:rsidR="009159C6" w:rsidRPr="00335887" w:rsidRDefault="00532553" w:rsidP="004F2FCA">
      <w:pPr>
        <w:jc w:val="both"/>
        <w:rPr>
          <w:rFonts w:ascii="Arial" w:hAnsi="Arial" w:cs="Arial"/>
        </w:rPr>
      </w:pPr>
      <w:r w:rsidRPr="00335887">
        <w:rPr>
          <w:rFonts w:ascii="Arial" w:hAnsi="Arial" w:cs="Arial"/>
        </w:rPr>
        <w:t xml:space="preserve">Mental Health Act 1983- </w:t>
      </w:r>
      <w:hyperlink r:id="rId8" w:history="1">
        <w:r w:rsidR="009159C6" w:rsidRPr="00335887">
          <w:rPr>
            <w:rStyle w:val="Hyperlink"/>
            <w:rFonts w:ascii="Arial" w:hAnsi="Arial" w:cs="Arial"/>
          </w:rPr>
          <w:t>https://www.legislation.gov.uk/ukpga/1983/20/contents</w:t>
        </w:r>
      </w:hyperlink>
    </w:p>
    <w:p w14:paraId="17238686" w14:textId="7FF7DAEB" w:rsidR="00532553" w:rsidRPr="00335887" w:rsidRDefault="00532553" w:rsidP="004F2FCA">
      <w:pPr>
        <w:jc w:val="both"/>
        <w:rPr>
          <w:rFonts w:ascii="Arial" w:hAnsi="Arial" w:cs="Arial"/>
          <w:b/>
          <w:bCs/>
        </w:rPr>
      </w:pPr>
      <w:r w:rsidRPr="00335887">
        <w:rPr>
          <w:rFonts w:ascii="Arial" w:hAnsi="Arial" w:cs="Arial"/>
          <w:b/>
          <w:bCs/>
        </w:rPr>
        <w:t>4.</w:t>
      </w:r>
      <w:r w:rsidR="00F86331" w:rsidRPr="00335887">
        <w:rPr>
          <w:rFonts w:ascii="Arial" w:hAnsi="Arial" w:cs="Arial"/>
          <w:b/>
          <w:bCs/>
        </w:rPr>
        <w:tab/>
      </w:r>
      <w:r w:rsidRPr="00335887">
        <w:rPr>
          <w:rFonts w:ascii="Arial" w:hAnsi="Arial" w:cs="Arial"/>
          <w:b/>
          <w:bCs/>
        </w:rPr>
        <w:t xml:space="preserve"> Scope</w:t>
      </w:r>
    </w:p>
    <w:p w14:paraId="459D79D4" w14:textId="77777777" w:rsidR="00E1199C" w:rsidRPr="00335887" w:rsidRDefault="00532553" w:rsidP="004F2FCA">
      <w:pPr>
        <w:jc w:val="both"/>
        <w:rPr>
          <w:rFonts w:ascii="Arial" w:hAnsi="Arial" w:cs="Arial"/>
        </w:rPr>
      </w:pPr>
      <w:r w:rsidRPr="00335887">
        <w:rPr>
          <w:rFonts w:ascii="Arial" w:hAnsi="Arial" w:cs="Arial"/>
        </w:rPr>
        <w:t xml:space="preserve">This agreement only applies to those patients, </w:t>
      </w:r>
      <w:r w:rsidR="00E1199C" w:rsidRPr="00335887">
        <w:rPr>
          <w:rFonts w:ascii="Arial" w:hAnsi="Arial" w:cs="Arial"/>
        </w:rPr>
        <w:t>aged 18 or over</w:t>
      </w:r>
      <w:r w:rsidRPr="00335887">
        <w:rPr>
          <w:rFonts w:ascii="Arial" w:hAnsi="Arial" w:cs="Arial"/>
        </w:rPr>
        <w:t xml:space="preserve">, or those that are in </w:t>
      </w:r>
      <w:r w:rsidR="00CB13B6" w:rsidRPr="00335887">
        <w:rPr>
          <w:rFonts w:ascii="Arial" w:hAnsi="Arial" w:cs="Arial"/>
        </w:rPr>
        <w:t xml:space="preserve">a </w:t>
      </w:r>
      <w:r w:rsidRPr="00335887">
        <w:rPr>
          <w:rFonts w:ascii="Arial" w:hAnsi="Arial" w:cs="Arial"/>
        </w:rPr>
        <w:t xml:space="preserve">transition assessment process </w:t>
      </w:r>
      <w:r w:rsidR="00E1199C" w:rsidRPr="00335887">
        <w:rPr>
          <w:rFonts w:ascii="Arial" w:hAnsi="Arial" w:cs="Arial"/>
        </w:rPr>
        <w:t>and where</w:t>
      </w:r>
      <w:r w:rsidRPr="00335887">
        <w:rPr>
          <w:rFonts w:ascii="Arial" w:hAnsi="Arial" w:cs="Arial"/>
        </w:rPr>
        <w:t xml:space="preserve"> no alternative funding stream is identified. </w:t>
      </w:r>
    </w:p>
    <w:p w14:paraId="48EC7D0C" w14:textId="62148233" w:rsidR="00532553" w:rsidRPr="00335887" w:rsidRDefault="00E1199C" w:rsidP="004F2FCA">
      <w:pPr>
        <w:jc w:val="both"/>
        <w:rPr>
          <w:rFonts w:ascii="Arial" w:hAnsi="Arial" w:cs="Arial"/>
        </w:rPr>
      </w:pPr>
      <w:r w:rsidRPr="00335887">
        <w:rPr>
          <w:rFonts w:ascii="Arial" w:hAnsi="Arial" w:cs="Arial"/>
        </w:rPr>
        <w:t xml:space="preserve">This policy </w:t>
      </w:r>
      <w:r w:rsidR="00532553" w:rsidRPr="00335887">
        <w:rPr>
          <w:rFonts w:ascii="Arial" w:hAnsi="Arial" w:cs="Arial"/>
        </w:rPr>
        <w:t xml:space="preserve">does not apply to those that have been found to be eligible for NHS CHC or </w:t>
      </w:r>
      <w:r w:rsidRPr="00335887">
        <w:rPr>
          <w:rFonts w:ascii="Arial" w:hAnsi="Arial" w:cs="Arial"/>
        </w:rPr>
        <w:t>require Intermediate Care</w:t>
      </w:r>
      <w:r w:rsidR="00532553" w:rsidRPr="00335887">
        <w:rPr>
          <w:rFonts w:ascii="Arial" w:hAnsi="Arial" w:cs="Arial"/>
        </w:rPr>
        <w:t xml:space="preserve">. </w:t>
      </w:r>
    </w:p>
    <w:p w14:paraId="26F0ABDF" w14:textId="45EB088B" w:rsidR="00EE576D" w:rsidRPr="00335887" w:rsidRDefault="00EE576D" w:rsidP="00A438BA">
      <w:pPr>
        <w:jc w:val="both"/>
        <w:rPr>
          <w:rFonts w:ascii="Arial" w:hAnsi="Arial" w:cs="Arial"/>
        </w:rPr>
      </w:pPr>
      <w:r w:rsidRPr="00335887">
        <w:rPr>
          <w:rFonts w:ascii="Arial" w:hAnsi="Arial" w:cs="Arial"/>
        </w:rPr>
        <w:t xml:space="preserve">Individuals eligible for S117 aftercare are reference in section </w:t>
      </w:r>
      <w:r w:rsidR="00186D6D" w:rsidRPr="00335887">
        <w:rPr>
          <w:rFonts w:ascii="Arial" w:hAnsi="Arial" w:cs="Arial"/>
        </w:rPr>
        <w:t xml:space="preserve">7 </w:t>
      </w:r>
      <w:r w:rsidRPr="00335887">
        <w:rPr>
          <w:rFonts w:ascii="Arial" w:hAnsi="Arial" w:cs="Arial"/>
        </w:rPr>
        <w:t>of this policy</w:t>
      </w:r>
    </w:p>
    <w:p w14:paraId="3CC04E5C" w14:textId="204D56A0" w:rsidR="009159C6" w:rsidRPr="00335887" w:rsidRDefault="009159C6" w:rsidP="004F2FCA">
      <w:pPr>
        <w:jc w:val="both"/>
        <w:rPr>
          <w:rFonts w:ascii="Arial" w:hAnsi="Arial" w:cs="Arial"/>
          <w:b/>
          <w:bCs/>
        </w:rPr>
      </w:pPr>
      <w:r w:rsidRPr="00335887">
        <w:rPr>
          <w:rFonts w:ascii="Arial" w:hAnsi="Arial" w:cs="Arial"/>
          <w:b/>
          <w:bCs/>
        </w:rPr>
        <w:t>5.</w:t>
      </w:r>
      <w:r w:rsidRPr="00335887">
        <w:rPr>
          <w:rFonts w:ascii="Arial" w:hAnsi="Arial" w:cs="Arial"/>
          <w:b/>
          <w:bCs/>
        </w:rPr>
        <w:tab/>
        <w:t xml:space="preserve">Principles </w:t>
      </w:r>
    </w:p>
    <w:p w14:paraId="59A15018" w14:textId="2C7C50BE" w:rsidR="00680E05" w:rsidRPr="00335887" w:rsidRDefault="00680E05" w:rsidP="008B5505">
      <w:pPr>
        <w:jc w:val="both"/>
        <w:rPr>
          <w:rFonts w:ascii="Arial" w:hAnsi="Arial" w:cs="Arial"/>
        </w:rPr>
      </w:pPr>
      <w:r w:rsidRPr="00335887">
        <w:rPr>
          <w:rFonts w:ascii="Arial" w:hAnsi="Arial" w:cs="Arial"/>
        </w:rPr>
        <w:t xml:space="preserve">All staff must be able to recognise a health need and differentiate it from a social need or vice versa </w:t>
      </w:r>
    </w:p>
    <w:p w14:paraId="0B88C005" w14:textId="3262E9C2" w:rsidR="002073BF" w:rsidRPr="00335887" w:rsidRDefault="002073BF" w:rsidP="004F2FCA">
      <w:pPr>
        <w:jc w:val="both"/>
        <w:rPr>
          <w:rFonts w:ascii="Arial" w:hAnsi="Arial" w:cs="Arial"/>
          <w:b/>
          <w:bCs/>
        </w:rPr>
      </w:pPr>
      <w:r w:rsidRPr="00335887">
        <w:rPr>
          <w:rFonts w:ascii="Arial" w:hAnsi="Arial" w:cs="Arial"/>
          <w:b/>
          <w:bCs/>
        </w:rPr>
        <w:t xml:space="preserve">Definition of a </w:t>
      </w:r>
      <w:r w:rsidR="006F401F">
        <w:rPr>
          <w:rFonts w:ascii="Arial" w:hAnsi="Arial" w:cs="Arial"/>
          <w:b/>
          <w:bCs/>
        </w:rPr>
        <w:t>H</w:t>
      </w:r>
      <w:r w:rsidRPr="00335887">
        <w:rPr>
          <w:rFonts w:ascii="Arial" w:hAnsi="Arial" w:cs="Arial"/>
          <w:b/>
          <w:bCs/>
        </w:rPr>
        <w:t xml:space="preserve">ealth </w:t>
      </w:r>
      <w:r w:rsidR="006F401F">
        <w:rPr>
          <w:rFonts w:ascii="Arial" w:hAnsi="Arial" w:cs="Arial"/>
          <w:b/>
          <w:bCs/>
        </w:rPr>
        <w:t>N</w:t>
      </w:r>
      <w:r w:rsidRPr="00335887">
        <w:rPr>
          <w:rFonts w:ascii="Arial" w:hAnsi="Arial" w:cs="Arial"/>
          <w:b/>
          <w:bCs/>
        </w:rPr>
        <w:t>eed</w:t>
      </w:r>
      <w:r w:rsidR="006F401F">
        <w:rPr>
          <w:rFonts w:ascii="Arial" w:hAnsi="Arial" w:cs="Arial"/>
          <w:b/>
          <w:bCs/>
        </w:rPr>
        <w:t>:</w:t>
      </w:r>
    </w:p>
    <w:p w14:paraId="4457FFCD" w14:textId="77777777" w:rsidR="002073BF" w:rsidRPr="00335887" w:rsidRDefault="002073BF" w:rsidP="002073BF">
      <w:pPr>
        <w:jc w:val="both"/>
        <w:rPr>
          <w:rFonts w:ascii="Arial" w:hAnsi="Arial" w:cs="Arial"/>
        </w:rPr>
      </w:pPr>
      <w:r w:rsidRPr="00335887">
        <w:rPr>
          <w:rFonts w:ascii="Arial" w:hAnsi="Arial" w:cs="Arial"/>
        </w:rPr>
        <w:t>This issue is considered in the National Framework for NHS Continuing Healthcare and NHS-funded nursing Care July 2022 (Revised) (“the National Framework”).</w:t>
      </w:r>
    </w:p>
    <w:p w14:paraId="54E4595C" w14:textId="77777777" w:rsidR="002073BF" w:rsidRPr="00335887" w:rsidRDefault="002073BF" w:rsidP="002073BF">
      <w:pPr>
        <w:jc w:val="both"/>
        <w:rPr>
          <w:rFonts w:ascii="Arial" w:hAnsi="Arial" w:cs="Arial"/>
        </w:rPr>
      </w:pPr>
      <w:r w:rsidRPr="00335887">
        <w:rPr>
          <w:rFonts w:ascii="Arial" w:hAnsi="Arial" w:cs="Arial"/>
        </w:rPr>
        <w:t>Paragraph 51 of the National Framework provides that “Whilst there is not a legal definition of a health need in general terms it can be said that such a need is one related to the treatment, control, management or prevention of a disease, illness, injury or disability, and the care or aftercare of a person with these needs (whether or not the tasks involved have to be carried out by a health professional).”</w:t>
      </w:r>
    </w:p>
    <w:p w14:paraId="358CCEFE" w14:textId="0E4AD91E" w:rsidR="002073BF" w:rsidRPr="00335887" w:rsidRDefault="002073BF" w:rsidP="002073BF">
      <w:pPr>
        <w:jc w:val="both"/>
        <w:rPr>
          <w:rFonts w:ascii="Arial" w:hAnsi="Arial" w:cs="Arial"/>
        </w:rPr>
      </w:pPr>
      <w:r w:rsidRPr="00335887">
        <w:rPr>
          <w:rFonts w:ascii="Arial" w:hAnsi="Arial" w:cs="Arial"/>
        </w:rPr>
        <w:lastRenderedPageBreak/>
        <w:t>This definition derives from sections 1, 3 and 275 of the Health Act.</w:t>
      </w:r>
    </w:p>
    <w:p w14:paraId="5DB49715" w14:textId="17AE73B9" w:rsidR="002073BF" w:rsidRPr="00335887" w:rsidRDefault="002073BF" w:rsidP="002073BF">
      <w:pPr>
        <w:jc w:val="both"/>
        <w:rPr>
          <w:rFonts w:ascii="Arial" w:hAnsi="Arial" w:cs="Arial"/>
          <w:b/>
          <w:bCs/>
        </w:rPr>
      </w:pPr>
      <w:r w:rsidRPr="00335887">
        <w:rPr>
          <w:rFonts w:ascii="Arial" w:hAnsi="Arial" w:cs="Arial"/>
          <w:b/>
          <w:bCs/>
        </w:rPr>
        <w:t>Definition of a Social Care Need</w:t>
      </w:r>
      <w:r w:rsidR="006F401F">
        <w:rPr>
          <w:rFonts w:ascii="Arial" w:hAnsi="Arial" w:cs="Arial"/>
          <w:b/>
          <w:bCs/>
        </w:rPr>
        <w:t>:</w:t>
      </w:r>
    </w:p>
    <w:p w14:paraId="50418C0C" w14:textId="77777777" w:rsidR="002073BF" w:rsidRPr="00335887" w:rsidRDefault="002073BF" w:rsidP="002073BF">
      <w:pPr>
        <w:jc w:val="both"/>
        <w:rPr>
          <w:rFonts w:ascii="Arial" w:hAnsi="Arial" w:cs="Arial"/>
        </w:rPr>
      </w:pPr>
      <w:r w:rsidRPr="00335887">
        <w:rPr>
          <w:rFonts w:ascii="Arial" w:hAnsi="Arial" w:cs="Arial"/>
        </w:rPr>
        <w:t>In this context, social care needs are determined by reference to the National Eligibility Criteria, which are set out as follows:</w:t>
      </w:r>
    </w:p>
    <w:p w14:paraId="7808CE42" w14:textId="74018C24" w:rsidR="002073BF" w:rsidRPr="00335887" w:rsidRDefault="002073BF" w:rsidP="002073BF">
      <w:pPr>
        <w:spacing w:after="0" w:line="240" w:lineRule="auto"/>
        <w:jc w:val="both"/>
        <w:rPr>
          <w:rFonts w:ascii="Arial" w:hAnsi="Arial" w:cs="Arial"/>
        </w:rPr>
      </w:pPr>
      <w:r w:rsidRPr="00335887">
        <w:rPr>
          <w:rFonts w:ascii="Arial" w:hAnsi="Arial" w:cs="Arial"/>
        </w:rPr>
        <w:t xml:space="preserve">a) </w:t>
      </w:r>
      <w:r w:rsidR="006F401F">
        <w:rPr>
          <w:rFonts w:ascii="Arial" w:hAnsi="Arial" w:cs="Arial"/>
        </w:rPr>
        <w:t>M</w:t>
      </w:r>
      <w:r w:rsidRPr="00335887">
        <w:rPr>
          <w:rFonts w:ascii="Arial" w:hAnsi="Arial" w:cs="Arial"/>
        </w:rPr>
        <w:t>anaging and maintaining nutrition;</w:t>
      </w:r>
    </w:p>
    <w:p w14:paraId="45AA3195" w14:textId="5A42EE4C" w:rsidR="002073BF" w:rsidRPr="00335887" w:rsidRDefault="002073BF" w:rsidP="002073BF">
      <w:pPr>
        <w:spacing w:after="0" w:line="240" w:lineRule="auto"/>
        <w:jc w:val="both"/>
        <w:rPr>
          <w:rFonts w:ascii="Arial" w:hAnsi="Arial" w:cs="Arial"/>
        </w:rPr>
      </w:pPr>
      <w:r w:rsidRPr="00335887">
        <w:rPr>
          <w:rFonts w:ascii="Arial" w:hAnsi="Arial" w:cs="Arial"/>
        </w:rPr>
        <w:t xml:space="preserve">b) </w:t>
      </w:r>
      <w:r w:rsidR="006F401F">
        <w:rPr>
          <w:rFonts w:ascii="Arial" w:hAnsi="Arial" w:cs="Arial"/>
        </w:rPr>
        <w:t>M</w:t>
      </w:r>
      <w:r w:rsidRPr="00335887">
        <w:rPr>
          <w:rFonts w:ascii="Arial" w:hAnsi="Arial" w:cs="Arial"/>
        </w:rPr>
        <w:t>aintaining personal hygiene;</w:t>
      </w:r>
    </w:p>
    <w:p w14:paraId="195A97EA" w14:textId="6853BC64" w:rsidR="002073BF" w:rsidRPr="00335887" w:rsidRDefault="002073BF" w:rsidP="002073BF">
      <w:pPr>
        <w:spacing w:after="0" w:line="240" w:lineRule="auto"/>
        <w:jc w:val="both"/>
        <w:rPr>
          <w:rFonts w:ascii="Arial" w:hAnsi="Arial" w:cs="Arial"/>
        </w:rPr>
      </w:pPr>
      <w:r w:rsidRPr="00335887">
        <w:rPr>
          <w:rFonts w:ascii="Arial" w:hAnsi="Arial" w:cs="Arial"/>
        </w:rPr>
        <w:t xml:space="preserve">c) </w:t>
      </w:r>
      <w:r w:rsidR="006F401F">
        <w:rPr>
          <w:rFonts w:ascii="Arial" w:hAnsi="Arial" w:cs="Arial"/>
        </w:rPr>
        <w:t>M</w:t>
      </w:r>
      <w:r w:rsidRPr="00335887">
        <w:rPr>
          <w:rFonts w:ascii="Arial" w:hAnsi="Arial" w:cs="Arial"/>
        </w:rPr>
        <w:t>anaging toilet needs;</w:t>
      </w:r>
    </w:p>
    <w:p w14:paraId="0438D4B7" w14:textId="1B49DA90" w:rsidR="002073BF" w:rsidRPr="00335887" w:rsidRDefault="002073BF" w:rsidP="002073BF">
      <w:pPr>
        <w:spacing w:after="0" w:line="240" w:lineRule="auto"/>
        <w:jc w:val="both"/>
        <w:rPr>
          <w:rFonts w:ascii="Arial" w:hAnsi="Arial" w:cs="Arial"/>
        </w:rPr>
      </w:pPr>
      <w:r w:rsidRPr="00335887">
        <w:rPr>
          <w:rFonts w:ascii="Arial" w:hAnsi="Arial" w:cs="Arial"/>
        </w:rPr>
        <w:t xml:space="preserve">d) </w:t>
      </w:r>
      <w:r w:rsidR="006F401F">
        <w:rPr>
          <w:rFonts w:ascii="Arial" w:hAnsi="Arial" w:cs="Arial"/>
        </w:rPr>
        <w:t>B</w:t>
      </w:r>
      <w:r w:rsidRPr="00335887">
        <w:rPr>
          <w:rFonts w:ascii="Arial" w:hAnsi="Arial" w:cs="Arial"/>
        </w:rPr>
        <w:t>eing appropriately clothed;</w:t>
      </w:r>
    </w:p>
    <w:p w14:paraId="5F3097C9" w14:textId="2952E6CF" w:rsidR="002073BF" w:rsidRPr="00335887" w:rsidRDefault="002073BF" w:rsidP="002073BF">
      <w:pPr>
        <w:spacing w:after="0" w:line="240" w:lineRule="auto"/>
        <w:jc w:val="both"/>
        <w:rPr>
          <w:rFonts w:ascii="Arial" w:hAnsi="Arial" w:cs="Arial"/>
        </w:rPr>
      </w:pPr>
      <w:r w:rsidRPr="00335887">
        <w:rPr>
          <w:rFonts w:ascii="Arial" w:hAnsi="Arial" w:cs="Arial"/>
        </w:rPr>
        <w:t xml:space="preserve">e) </w:t>
      </w:r>
      <w:r w:rsidR="006F401F">
        <w:rPr>
          <w:rFonts w:ascii="Arial" w:hAnsi="Arial" w:cs="Arial"/>
        </w:rPr>
        <w:t>B</w:t>
      </w:r>
      <w:r w:rsidRPr="00335887">
        <w:rPr>
          <w:rFonts w:ascii="Arial" w:hAnsi="Arial" w:cs="Arial"/>
        </w:rPr>
        <w:t>eing able to make use of the home safely;</w:t>
      </w:r>
    </w:p>
    <w:p w14:paraId="32B18E3A" w14:textId="3D4D66AF" w:rsidR="002073BF" w:rsidRPr="00335887" w:rsidRDefault="002073BF" w:rsidP="002073BF">
      <w:pPr>
        <w:spacing w:after="0" w:line="240" w:lineRule="auto"/>
        <w:jc w:val="both"/>
        <w:rPr>
          <w:rFonts w:ascii="Arial" w:hAnsi="Arial" w:cs="Arial"/>
        </w:rPr>
      </w:pPr>
      <w:r w:rsidRPr="00335887">
        <w:rPr>
          <w:rFonts w:ascii="Arial" w:hAnsi="Arial" w:cs="Arial"/>
        </w:rPr>
        <w:t xml:space="preserve">f) </w:t>
      </w:r>
      <w:r w:rsidR="006F401F">
        <w:rPr>
          <w:rFonts w:ascii="Arial" w:hAnsi="Arial" w:cs="Arial"/>
        </w:rPr>
        <w:t>M</w:t>
      </w:r>
      <w:r w:rsidRPr="00335887">
        <w:rPr>
          <w:rFonts w:ascii="Arial" w:hAnsi="Arial" w:cs="Arial"/>
        </w:rPr>
        <w:t>aintaining a habitable home environment;</w:t>
      </w:r>
    </w:p>
    <w:p w14:paraId="79056497" w14:textId="251CB237" w:rsidR="002073BF" w:rsidRPr="00335887" w:rsidRDefault="002073BF" w:rsidP="002073BF">
      <w:pPr>
        <w:spacing w:after="0" w:line="240" w:lineRule="auto"/>
        <w:jc w:val="both"/>
        <w:rPr>
          <w:rFonts w:ascii="Arial" w:hAnsi="Arial" w:cs="Arial"/>
        </w:rPr>
      </w:pPr>
      <w:r w:rsidRPr="00335887">
        <w:rPr>
          <w:rFonts w:ascii="Arial" w:hAnsi="Arial" w:cs="Arial"/>
        </w:rPr>
        <w:t xml:space="preserve">g) </w:t>
      </w:r>
      <w:r w:rsidR="006F401F">
        <w:rPr>
          <w:rFonts w:ascii="Arial" w:hAnsi="Arial" w:cs="Arial"/>
        </w:rPr>
        <w:t>D</w:t>
      </w:r>
      <w:r w:rsidRPr="00335887">
        <w:rPr>
          <w:rFonts w:ascii="Arial" w:hAnsi="Arial" w:cs="Arial"/>
        </w:rPr>
        <w:t>eveloping and maintaining family or other personal relationships;</w:t>
      </w:r>
    </w:p>
    <w:p w14:paraId="5C2CDB3F" w14:textId="3351310D" w:rsidR="002073BF" w:rsidRPr="00335887" w:rsidRDefault="002073BF" w:rsidP="002073BF">
      <w:pPr>
        <w:spacing w:after="0" w:line="240" w:lineRule="auto"/>
        <w:jc w:val="both"/>
        <w:rPr>
          <w:rFonts w:ascii="Arial" w:hAnsi="Arial" w:cs="Arial"/>
        </w:rPr>
      </w:pPr>
      <w:r w:rsidRPr="00335887">
        <w:rPr>
          <w:rFonts w:ascii="Arial" w:hAnsi="Arial" w:cs="Arial"/>
        </w:rPr>
        <w:t xml:space="preserve">h) </w:t>
      </w:r>
      <w:r w:rsidR="006F401F">
        <w:rPr>
          <w:rFonts w:ascii="Arial" w:hAnsi="Arial" w:cs="Arial"/>
        </w:rPr>
        <w:t>A</w:t>
      </w:r>
      <w:r w:rsidRPr="00335887">
        <w:rPr>
          <w:rFonts w:ascii="Arial" w:hAnsi="Arial" w:cs="Arial"/>
        </w:rPr>
        <w:t>ccessing and engaging in work, training, education or volunteering;</w:t>
      </w:r>
    </w:p>
    <w:p w14:paraId="271B3898" w14:textId="462D017E" w:rsidR="002073BF" w:rsidRPr="00335887" w:rsidRDefault="002073BF" w:rsidP="002073BF">
      <w:pPr>
        <w:spacing w:after="0" w:line="240" w:lineRule="auto"/>
        <w:jc w:val="both"/>
        <w:rPr>
          <w:rFonts w:ascii="Arial" w:hAnsi="Arial" w:cs="Arial"/>
        </w:rPr>
      </w:pPr>
      <w:r w:rsidRPr="00335887">
        <w:rPr>
          <w:rFonts w:ascii="Arial" w:hAnsi="Arial" w:cs="Arial"/>
        </w:rPr>
        <w:t xml:space="preserve">i) </w:t>
      </w:r>
      <w:r w:rsidR="006F401F">
        <w:rPr>
          <w:rFonts w:ascii="Arial" w:hAnsi="Arial" w:cs="Arial"/>
        </w:rPr>
        <w:t>M</w:t>
      </w:r>
      <w:r w:rsidRPr="00335887">
        <w:rPr>
          <w:rFonts w:ascii="Arial" w:hAnsi="Arial" w:cs="Arial"/>
        </w:rPr>
        <w:t xml:space="preserve">aking use of necessary facilities or services in the local community, including public </w:t>
      </w:r>
      <w:r w:rsidR="006F401F">
        <w:rPr>
          <w:rFonts w:ascii="Arial" w:hAnsi="Arial" w:cs="Arial"/>
        </w:rPr>
        <w:t xml:space="preserve">   </w:t>
      </w:r>
      <w:r w:rsidRPr="00335887">
        <w:rPr>
          <w:rFonts w:ascii="Arial" w:hAnsi="Arial" w:cs="Arial"/>
        </w:rPr>
        <w:t>transport and recreational facilities or services; and</w:t>
      </w:r>
    </w:p>
    <w:p w14:paraId="285E23CB" w14:textId="3AB450E9" w:rsidR="002073BF" w:rsidRPr="00335887" w:rsidRDefault="002073BF" w:rsidP="002073BF">
      <w:pPr>
        <w:spacing w:after="0" w:line="240" w:lineRule="auto"/>
        <w:jc w:val="both"/>
        <w:rPr>
          <w:rFonts w:ascii="Arial" w:hAnsi="Arial" w:cs="Arial"/>
        </w:rPr>
      </w:pPr>
      <w:r w:rsidRPr="00335887">
        <w:rPr>
          <w:rFonts w:ascii="Arial" w:hAnsi="Arial" w:cs="Arial"/>
        </w:rPr>
        <w:t xml:space="preserve">j) </w:t>
      </w:r>
      <w:r w:rsidR="006F401F">
        <w:rPr>
          <w:rFonts w:ascii="Arial" w:hAnsi="Arial" w:cs="Arial"/>
        </w:rPr>
        <w:t>C</w:t>
      </w:r>
      <w:r w:rsidRPr="00335887">
        <w:rPr>
          <w:rFonts w:ascii="Arial" w:hAnsi="Arial" w:cs="Arial"/>
        </w:rPr>
        <w:t>arrying out any caring responsibilities the adult has for a child.</w:t>
      </w:r>
    </w:p>
    <w:p w14:paraId="4538C107" w14:textId="77777777" w:rsidR="008B5505" w:rsidRPr="00335887" w:rsidRDefault="008B5505" w:rsidP="002073BF">
      <w:pPr>
        <w:jc w:val="both"/>
        <w:rPr>
          <w:rFonts w:ascii="Arial" w:hAnsi="Arial" w:cs="Arial"/>
        </w:rPr>
      </w:pPr>
    </w:p>
    <w:p w14:paraId="5A85AFA2" w14:textId="219DFE7D" w:rsidR="002073BF" w:rsidRPr="00335887" w:rsidRDefault="002073BF" w:rsidP="002073BF">
      <w:pPr>
        <w:jc w:val="both"/>
        <w:rPr>
          <w:rFonts w:ascii="Arial" w:hAnsi="Arial" w:cs="Arial"/>
        </w:rPr>
      </w:pPr>
      <w:r w:rsidRPr="00335887">
        <w:rPr>
          <w:rFonts w:ascii="Arial" w:hAnsi="Arial" w:cs="Arial"/>
        </w:rPr>
        <w:t>Eligible needs exist when an inability to achieve 2 or more outcomes would have a significant impact on an individual’s well-being. The well-being principle is set out in section 1 of the Care Act</w:t>
      </w:r>
    </w:p>
    <w:p w14:paraId="5C409ADA" w14:textId="074783BA" w:rsidR="008B5505" w:rsidRPr="00335887" w:rsidRDefault="002073BF" w:rsidP="00E1199C">
      <w:pPr>
        <w:jc w:val="both"/>
        <w:rPr>
          <w:rFonts w:ascii="Arial" w:hAnsi="Arial" w:cs="Arial"/>
        </w:rPr>
      </w:pPr>
      <w:r w:rsidRPr="00335887">
        <w:rPr>
          <w:rFonts w:ascii="Arial" w:hAnsi="Arial" w:cs="Arial"/>
        </w:rPr>
        <w:t>It should be noted that these criteria very deliberately do not include needs related to</w:t>
      </w:r>
      <w:r w:rsidR="008B5505" w:rsidRPr="00335887">
        <w:rPr>
          <w:rFonts w:ascii="Arial" w:hAnsi="Arial" w:cs="Arial"/>
        </w:rPr>
        <w:t xml:space="preserve"> m</w:t>
      </w:r>
      <w:r w:rsidRPr="00335887">
        <w:rPr>
          <w:rFonts w:ascii="Arial" w:hAnsi="Arial" w:cs="Arial"/>
        </w:rPr>
        <w:t>anaging medication or other treatments delegated or prescribed by a health care professional.</w:t>
      </w:r>
      <w:r w:rsidR="008B5505" w:rsidRPr="00335887">
        <w:rPr>
          <w:rFonts w:ascii="Arial" w:hAnsi="Arial" w:cs="Arial"/>
        </w:rPr>
        <w:t xml:space="preserve"> </w:t>
      </w:r>
      <w:r w:rsidRPr="00335887">
        <w:rPr>
          <w:rFonts w:ascii="Arial" w:hAnsi="Arial" w:cs="Arial"/>
        </w:rPr>
        <w:t xml:space="preserve">These needs are health needs, however when a health need is identified it must be considered if </w:t>
      </w:r>
      <w:r w:rsidR="008B5505" w:rsidRPr="00335887">
        <w:rPr>
          <w:rFonts w:ascii="Arial" w:hAnsi="Arial" w:cs="Arial"/>
        </w:rPr>
        <w:t xml:space="preserve">section 22 permits the local authority to meet this need. </w:t>
      </w:r>
    </w:p>
    <w:p w14:paraId="40681100" w14:textId="3568BCAD" w:rsidR="008B5505" w:rsidRPr="00335887" w:rsidRDefault="008B5505" w:rsidP="002073BF">
      <w:pPr>
        <w:spacing w:after="0"/>
        <w:jc w:val="both"/>
        <w:rPr>
          <w:rFonts w:ascii="Arial" w:hAnsi="Arial" w:cs="Arial"/>
        </w:rPr>
      </w:pPr>
      <w:r w:rsidRPr="00335887">
        <w:rPr>
          <w:rFonts w:ascii="Arial" w:hAnsi="Arial" w:cs="Arial"/>
        </w:rPr>
        <w:t xml:space="preserve">Section 22 of the Care Local </w:t>
      </w:r>
      <w:r w:rsidR="00E1199C" w:rsidRPr="00335887">
        <w:rPr>
          <w:rFonts w:ascii="Arial" w:hAnsi="Arial" w:cs="Arial"/>
        </w:rPr>
        <w:t xml:space="preserve">states that </w:t>
      </w:r>
      <w:r w:rsidRPr="00335887">
        <w:rPr>
          <w:rFonts w:ascii="Arial" w:hAnsi="Arial" w:cs="Arial"/>
        </w:rPr>
        <w:t>authorities must only provide health services where (a) doing so would be merely incidental or ancillary to doing something else to meet needs under the Care Act and (b) the service or facility in question would be of a nature that the local authority could be expected to provide. Incidental means connected with meeting an eligible social care need and a minor part of what is going on.</w:t>
      </w:r>
    </w:p>
    <w:p w14:paraId="6CC61279" w14:textId="77777777" w:rsidR="008B5505" w:rsidRPr="00335887" w:rsidRDefault="008B5505" w:rsidP="002073BF">
      <w:pPr>
        <w:spacing w:after="0"/>
        <w:jc w:val="both"/>
        <w:rPr>
          <w:rFonts w:ascii="Arial" w:hAnsi="Arial" w:cs="Arial"/>
        </w:rPr>
      </w:pPr>
    </w:p>
    <w:p w14:paraId="7C1410E5" w14:textId="1BAFD3E9" w:rsidR="002073BF" w:rsidRPr="00335887" w:rsidRDefault="008B5505" w:rsidP="002073BF">
      <w:pPr>
        <w:spacing w:after="0"/>
        <w:jc w:val="both"/>
        <w:rPr>
          <w:rFonts w:ascii="Arial" w:hAnsi="Arial" w:cs="Arial"/>
        </w:rPr>
      </w:pPr>
      <w:r w:rsidRPr="00335887">
        <w:rPr>
          <w:rFonts w:ascii="Arial" w:hAnsi="Arial" w:cs="Arial"/>
        </w:rPr>
        <w:t>In many cases this is straightforward</w:t>
      </w:r>
      <w:r w:rsidR="006F401F">
        <w:rPr>
          <w:rFonts w:ascii="Arial" w:hAnsi="Arial" w:cs="Arial"/>
        </w:rPr>
        <w:t>, f</w:t>
      </w:r>
      <w:r w:rsidRPr="00335887">
        <w:rPr>
          <w:rFonts w:ascii="Arial" w:hAnsi="Arial" w:cs="Arial"/>
        </w:rPr>
        <w:t>or example, the administration of medication is always a clear health need. However, it will be often permissible for the local authority to support with the administration of medication where it is a small part of a visit (incidental) where an individual is being supported with social care needs like washing, dressing and eating. Further examples are appended to this policy.</w:t>
      </w:r>
    </w:p>
    <w:p w14:paraId="5C60D0E9" w14:textId="15E803FF" w:rsidR="00335887" w:rsidRPr="00335887" w:rsidRDefault="00335887" w:rsidP="002073BF">
      <w:pPr>
        <w:spacing w:after="0"/>
        <w:jc w:val="both"/>
        <w:rPr>
          <w:rFonts w:ascii="Arial" w:hAnsi="Arial" w:cs="Arial"/>
        </w:rPr>
      </w:pPr>
      <w:r w:rsidRPr="00335887">
        <w:rPr>
          <w:rFonts w:ascii="Arial" w:hAnsi="Arial" w:cs="Arial"/>
        </w:rPr>
        <w:br/>
        <w:t>Further examples of the differences between health and social needs are found later in this policy.</w:t>
      </w:r>
    </w:p>
    <w:p w14:paraId="21E657E5" w14:textId="77777777" w:rsidR="008B5505" w:rsidRPr="00335887" w:rsidRDefault="008B5505" w:rsidP="002073BF">
      <w:pPr>
        <w:spacing w:after="0"/>
        <w:jc w:val="both"/>
        <w:rPr>
          <w:rFonts w:ascii="Arial" w:hAnsi="Arial" w:cs="Arial"/>
        </w:rPr>
      </w:pPr>
    </w:p>
    <w:p w14:paraId="505E50D5" w14:textId="47B34D8D" w:rsidR="00335887" w:rsidRDefault="00E1199C" w:rsidP="006F401F">
      <w:pPr>
        <w:spacing w:after="0"/>
        <w:jc w:val="both"/>
        <w:rPr>
          <w:rFonts w:ascii="Arial" w:hAnsi="Arial" w:cs="Arial"/>
          <w:b/>
          <w:bCs/>
        </w:rPr>
      </w:pPr>
      <w:r w:rsidRPr="00335887">
        <w:rPr>
          <w:rFonts w:ascii="Arial" w:hAnsi="Arial" w:cs="Arial"/>
          <w:b/>
          <w:bCs/>
        </w:rPr>
        <w:t xml:space="preserve">6. </w:t>
      </w:r>
      <w:r w:rsidR="006F401F">
        <w:rPr>
          <w:rFonts w:ascii="Arial" w:hAnsi="Arial" w:cs="Arial"/>
          <w:b/>
          <w:bCs/>
        </w:rPr>
        <w:tab/>
      </w:r>
      <w:r w:rsidR="008B5505" w:rsidRPr="00335887">
        <w:rPr>
          <w:rFonts w:ascii="Arial" w:hAnsi="Arial" w:cs="Arial"/>
          <w:b/>
          <w:bCs/>
        </w:rPr>
        <w:t>Responsibilities</w:t>
      </w:r>
      <w:r w:rsidR="00FC3838">
        <w:rPr>
          <w:rFonts w:ascii="Arial" w:hAnsi="Arial" w:cs="Arial"/>
          <w:b/>
          <w:bCs/>
        </w:rPr>
        <w:t xml:space="preserve"> when considering and applying for joint funding</w:t>
      </w:r>
    </w:p>
    <w:p w14:paraId="29209A17" w14:textId="77777777" w:rsidR="006F401F" w:rsidRPr="006F401F" w:rsidRDefault="006F401F" w:rsidP="006F401F">
      <w:pPr>
        <w:spacing w:after="0"/>
        <w:jc w:val="both"/>
        <w:rPr>
          <w:rFonts w:ascii="Arial" w:hAnsi="Arial" w:cs="Arial"/>
          <w:b/>
          <w:bCs/>
        </w:rPr>
      </w:pPr>
    </w:p>
    <w:p w14:paraId="727D9AF5" w14:textId="62C43A12" w:rsidR="008B5505" w:rsidRPr="00335887" w:rsidRDefault="00E1199C" w:rsidP="008B5505">
      <w:pPr>
        <w:jc w:val="both"/>
        <w:rPr>
          <w:rFonts w:ascii="Arial" w:hAnsi="Arial" w:cs="Arial"/>
        </w:rPr>
      </w:pPr>
      <w:r w:rsidRPr="00335887">
        <w:rPr>
          <w:rFonts w:ascii="Arial" w:hAnsi="Arial" w:cs="Arial"/>
        </w:rPr>
        <w:t xml:space="preserve">All staff must be able to recognise a health need and differentiate it from a social need or vice versa </w:t>
      </w:r>
      <w:r w:rsidR="008B5505" w:rsidRPr="00335887">
        <w:rPr>
          <w:rFonts w:ascii="Arial" w:hAnsi="Arial" w:cs="Arial"/>
        </w:rPr>
        <w:t>during the care planning process. Th</w:t>
      </w:r>
      <w:r w:rsidRPr="00335887">
        <w:rPr>
          <w:rFonts w:ascii="Arial" w:hAnsi="Arial" w:cs="Arial"/>
        </w:rPr>
        <w:t>e</w:t>
      </w:r>
      <w:r w:rsidR="008B5505" w:rsidRPr="00335887">
        <w:rPr>
          <w:rFonts w:ascii="Arial" w:hAnsi="Arial" w:cs="Arial"/>
        </w:rPr>
        <w:t>s</w:t>
      </w:r>
      <w:r w:rsidRPr="00335887">
        <w:rPr>
          <w:rFonts w:ascii="Arial" w:hAnsi="Arial" w:cs="Arial"/>
        </w:rPr>
        <w:t>e</w:t>
      </w:r>
      <w:r w:rsidR="008B5505" w:rsidRPr="00335887">
        <w:rPr>
          <w:rFonts w:ascii="Arial" w:hAnsi="Arial" w:cs="Arial"/>
        </w:rPr>
        <w:t xml:space="preserve"> include</w:t>
      </w:r>
      <w:r w:rsidR="006F401F">
        <w:rPr>
          <w:rFonts w:ascii="Arial" w:hAnsi="Arial" w:cs="Arial"/>
        </w:rPr>
        <w:t>:</w:t>
      </w:r>
    </w:p>
    <w:p w14:paraId="57AEA443" w14:textId="77777777" w:rsidR="008B5505" w:rsidRPr="00335887" w:rsidRDefault="008B5505" w:rsidP="008B5505">
      <w:pPr>
        <w:pStyle w:val="ListParagraph"/>
        <w:numPr>
          <w:ilvl w:val="0"/>
          <w:numId w:val="10"/>
        </w:numPr>
        <w:jc w:val="both"/>
        <w:rPr>
          <w:rFonts w:ascii="Arial" w:hAnsi="Arial" w:cs="Arial"/>
        </w:rPr>
      </w:pPr>
      <w:r w:rsidRPr="00335887">
        <w:rPr>
          <w:rFonts w:ascii="Arial" w:hAnsi="Arial" w:cs="Arial"/>
        </w:rPr>
        <w:t>During the initial assessment of need</w:t>
      </w:r>
    </w:p>
    <w:p w14:paraId="61E07089" w14:textId="77777777" w:rsidR="008B5505" w:rsidRPr="00335887" w:rsidRDefault="008B5505" w:rsidP="008B5505">
      <w:pPr>
        <w:pStyle w:val="ListParagraph"/>
        <w:numPr>
          <w:ilvl w:val="0"/>
          <w:numId w:val="10"/>
        </w:numPr>
        <w:jc w:val="both"/>
        <w:rPr>
          <w:rFonts w:ascii="Arial" w:hAnsi="Arial" w:cs="Arial"/>
        </w:rPr>
      </w:pPr>
      <w:r w:rsidRPr="00335887">
        <w:rPr>
          <w:rFonts w:ascii="Arial" w:hAnsi="Arial" w:cs="Arial"/>
        </w:rPr>
        <w:t>The Care Planning Stage</w:t>
      </w:r>
    </w:p>
    <w:p w14:paraId="7A4A1B92" w14:textId="77777777" w:rsidR="008B5505" w:rsidRPr="00335887" w:rsidRDefault="008B5505" w:rsidP="008B5505">
      <w:pPr>
        <w:pStyle w:val="ListParagraph"/>
        <w:numPr>
          <w:ilvl w:val="0"/>
          <w:numId w:val="10"/>
        </w:numPr>
        <w:jc w:val="both"/>
        <w:rPr>
          <w:rFonts w:ascii="Arial" w:hAnsi="Arial" w:cs="Arial"/>
        </w:rPr>
      </w:pPr>
      <w:r w:rsidRPr="00335887">
        <w:rPr>
          <w:rFonts w:ascii="Arial" w:hAnsi="Arial" w:cs="Arial"/>
        </w:rPr>
        <w:t>When undertaking a review</w:t>
      </w:r>
    </w:p>
    <w:p w14:paraId="0810AE26" w14:textId="0977653F" w:rsidR="008B5505" w:rsidRPr="00335887" w:rsidRDefault="008B5505" w:rsidP="008B5505">
      <w:pPr>
        <w:pStyle w:val="ListParagraph"/>
        <w:numPr>
          <w:ilvl w:val="0"/>
          <w:numId w:val="10"/>
        </w:numPr>
        <w:jc w:val="both"/>
        <w:rPr>
          <w:rFonts w:ascii="Arial" w:hAnsi="Arial" w:cs="Arial"/>
        </w:rPr>
      </w:pPr>
      <w:r w:rsidRPr="00335887">
        <w:rPr>
          <w:rFonts w:ascii="Arial" w:hAnsi="Arial" w:cs="Arial"/>
        </w:rPr>
        <w:t>When a change o</w:t>
      </w:r>
      <w:r w:rsidR="00335887" w:rsidRPr="00335887">
        <w:rPr>
          <w:rFonts w:ascii="Arial" w:hAnsi="Arial" w:cs="Arial"/>
        </w:rPr>
        <w:t>f</w:t>
      </w:r>
      <w:r w:rsidRPr="00335887">
        <w:rPr>
          <w:rFonts w:ascii="Arial" w:hAnsi="Arial" w:cs="Arial"/>
        </w:rPr>
        <w:t xml:space="preserve"> need is notified</w:t>
      </w:r>
    </w:p>
    <w:p w14:paraId="02F58FE5" w14:textId="381FE95A" w:rsidR="008B5505" w:rsidRPr="00335887" w:rsidRDefault="008B5505" w:rsidP="008B5505">
      <w:pPr>
        <w:pStyle w:val="ListParagraph"/>
        <w:numPr>
          <w:ilvl w:val="0"/>
          <w:numId w:val="10"/>
        </w:numPr>
        <w:jc w:val="both"/>
        <w:rPr>
          <w:rFonts w:ascii="Arial" w:hAnsi="Arial" w:cs="Arial"/>
        </w:rPr>
      </w:pPr>
      <w:r w:rsidRPr="00335887">
        <w:rPr>
          <w:rFonts w:ascii="Arial" w:hAnsi="Arial" w:cs="Arial"/>
        </w:rPr>
        <w:lastRenderedPageBreak/>
        <w:t>When undergoing a formal assessment such as when applying the DST for NHS Continuing Health Care</w:t>
      </w:r>
      <w:r w:rsidR="00335887" w:rsidRPr="00335887">
        <w:rPr>
          <w:rFonts w:ascii="Arial" w:hAnsi="Arial" w:cs="Arial"/>
        </w:rPr>
        <w:t xml:space="preserve"> or undertaking an assessment under the Care Act.</w:t>
      </w:r>
    </w:p>
    <w:p w14:paraId="56A249AA" w14:textId="619FDFA6" w:rsidR="004F005D" w:rsidRPr="00097A86" w:rsidRDefault="00097A86" w:rsidP="004F005D">
      <w:pPr>
        <w:jc w:val="both"/>
        <w:rPr>
          <w:rFonts w:ascii="Arial" w:hAnsi="Arial" w:cs="Arial"/>
        </w:rPr>
      </w:pPr>
      <w:r w:rsidRPr="00097A86">
        <w:rPr>
          <w:rFonts w:ascii="Arial" w:hAnsi="Arial" w:cs="Arial"/>
        </w:rPr>
        <w:t>P</w:t>
      </w:r>
      <w:r w:rsidR="004F005D" w:rsidRPr="00097A86">
        <w:rPr>
          <w:rFonts w:ascii="Arial" w:hAnsi="Arial" w:cs="Arial"/>
        </w:rPr>
        <w:t xml:space="preserve">rior to </w:t>
      </w:r>
      <w:r w:rsidRPr="00097A86">
        <w:rPr>
          <w:rFonts w:ascii="Arial" w:hAnsi="Arial" w:cs="Arial"/>
        </w:rPr>
        <w:t>completing any assessment or making any application for f</w:t>
      </w:r>
      <w:r w:rsidR="004F005D" w:rsidRPr="00097A86">
        <w:rPr>
          <w:rFonts w:ascii="Arial" w:hAnsi="Arial" w:cs="Arial"/>
        </w:rPr>
        <w:t>unding each organisation will ensure they uphold  ‘Responsible Commissioner’ responsibilities and ordinary residence duties ensuring they are awa</w:t>
      </w:r>
      <w:r w:rsidRPr="00097A86">
        <w:rPr>
          <w:rFonts w:ascii="Arial" w:hAnsi="Arial" w:cs="Arial"/>
        </w:rPr>
        <w:t>r</w:t>
      </w:r>
      <w:r w:rsidR="004F005D" w:rsidRPr="00097A86">
        <w:rPr>
          <w:rFonts w:ascii="Arial" w:hAnsi="Arial" w:cs="Arial"/>
        </w:rPr>
        <w:t xml:space="preserve">e of which statutory body holds the duty of care to </w:t>
      </w:r>
      <w:r w:rsidRPr="00097A86">
        <w:rPr>
          <w:rFonts w:ascii="Arial" w:hAnsi="Arial" w:cs="Arial"/>
        </w:rPr>
        <w:t>provide the care and support.</w:t>
      </w:r>
      <w:r w:rsidR="004F005D" w:rsidRPr="00097A86">
        <w:rPr>
          <w:rFonts w:ascii="Arial" w:hAnsi="Arial" w:cs="Arial"/>
        </w:rPr>
        <w:t xml:space="preserve"> </w:t>
      </w:r>
    </w:p>
    <w:p w14:paraId="13294C5C" w14:textId="183B49D9" w:rsidR="00680E05" w:rsidRPr="00335887" w:rsidRDefault="00680E05" w:rsidP="004F2FCA">
      <w:pPr>
        <w:jc w:val="both"/>
        <w:rPr>
          <w:rFonts w:ascii="Arial" w:hAnsi="Arial" w:cs="Arial"/>
        </w:rPr>
      </w:pPr>
      <w:r w:rsidRPr="00335887">
        <w:rPr>
          <w:rFonts w:ascii="Arial" w:hAnsi="Arial" w:cs="Arial"/>
        </w:rPr>
        <w:t>Section 1 and Section 3 of the NHS Act requires the promotion of a comprehensive health service to prevent, diagnose and treat illness and secure improvement in the physical and mental health of the people of England and places a duty on ICBs to arrange for the provision of health services locally in accordance with the overarching duty to promote a comprehensive health service. This means there are many universal or core health services that must accessed first before any consideration is given to asking for joint funding, example of core health services include district nursing, mental health services, AHP services available in primary or secondary care.</w:t>
      </w:r>
    </w:p>
    <w:p w14:paraId="1A36437C" w14:textId="6BBA0EE5" w:rsidR="00680E05" w:rsidRPr="00335887" w:rsidRDefault="00532553" w:rsidP="004F2FCA">
      <w:pPr>
        <w:jc w:val="both"/>
        <w:rPr>
          <w:rFonts w:ascii="Arial" w:hAnsi="Arial" w:cs="Arial"/>
        </w:rPr>
      </w:pPr>
      <w:r w:rsidRPr="00335887">
        <w:rPr>
          <w:rFonts w:ascii="Arial" w:hAnsi="Arial" w:cs="Arial"/>
        </w:rPr>
        <w:t>Joint funding can only be considered for care provision where there are no other currently commissioned services available to meet specific identified needs</w:t>
      </w:r>
      <w:r w:rsidR="00680E05" w:rsidRPr="00335887">
        <w:rPr>
          <w:rFonts w:ascii="Arial" w:hAnsi="Arial" w:cs="Arial"/>
        </w:rPr>
        <w:t>. W</w:t>
      </w:r>
      <w:r w:rsidR="00CB13B6" w:rsidRPr="00335887">
        <w:rPr>
          <w:rFonts w:ascii="Arial" w:hAnsi="Arial" w:cs="Arial"/>
        </w:rPr>
        <w:t>aiting times are not a reason to commission bespoke NHS services</w:t>
      </w:r>
      <w:r w:rsidR="00335887" w:rsidRPr="00335887">
        <w:rPr>
          <w:rFonts w:ascii="Arial" w:hAnsi="Arial" w:cs="Arial"/>
        </w:rPr>
        <w:t>, therefore staff must be responsible for ensuring that all necessary universal or core NHS services are considered before requesting joint funding</w:t>
      </w:r>
    </w:p>
    <w:p w14:paraId="60900F8C" w14:textId="0494615B" w:rsidR="00335887" w:rsidRDefault="006F401F" w:rsidP="004F2FCA">
      <w:pPr>
        <w:jc w:val="both"/>
        <w:rPr>
          <w:rFonts w:ascii="Arial" w:hAnsi="Arial" w:cs="Arial"/>
        </w:rPr>
      </w:pPr>
      <w:r w:rsidRPr="00335887">
        <w:rPr>
          <w:rFonts w:ascii="Arial" w:hAnsi="Arial" w:cs="Arial"/>
        </w:rPr>
        <w:t>Likewise,</w:t>
      </w:r>
      <w:r w:rsidR="00335887" w:rsidRPr="00335887">
        <w:rPr>
          <w:rFonts w:ascii="Arial" w:hAnsi="Arial" w:cs="Arial"/>
        </w:rPr>
        <w:t xml:space="preserve"> staff must give consideration </w:t>
      </w:r>
      <w:r w:rsidR="00335887">
        <w:rPr>
          <w:rFonts w:ascii="Arial" w:hAnsi="Arial" w:cs="Arial"/>
        </w:rPr>
        <w:t xml:space="preserve">as </w:t>
      </w:r>
      <w:r w:rsidR="00335887" w:rsidRPr="00335887">
        <w:rPr>
          <w:rFonts w:ascii="Arial" w:hAnsi="Arial" w:cs="Arial"/>
        </w:rPr>
        <w:t>to whether the health need is ancillary or incidental and can be met by the local authority under section 22 of the care act</w:t>
      </w:r>
      <w:r w:rsidR="00335887">
        <w:rPr>
          <w:rFonts w:ascii="Arial" w:hAnsi="Arial" w:cs="Arial"/>
        </w:rPr>
        <w:t>.</w:t>
      </w:r>
    </w:p>
    <w:p w14:paraId="406CEFB6" w14:textId="01E4DD3F" w:rsidR="00A07A70" w:rsidRDefault="00A07A70" w:rsidP="004F2FCA">
      <w:pPr>
        <w:jc w:val="both"/>
        <w:rPr>
          <w:rFonts w:ascii="Arial" w:hAnsi="Arial" w:cs="Arial"/>
        </w:rPr>
      </w:pPr>
      <w:r>
        <w:rPr>
          <w:rFonts w:ascii="Arial" w:hAnsi="Arial" w:cs="Arial"/>
        </w:rPr>
        <w:t>Where a number of health needs are</w:t>
      </w:r>
      <w:r w:rsidR="00FC3838">
        <w:rPr>
          <w:rFonts w:ascii="Arial" w:hAnsi="Arial" w:cs="Arial"/>
        </w:rPr>
        <w:t xml:space="preserve"> identified consideration must be given to the person’s potential eligibility for NHS Continuing Care by completing the screening tool. Where this triggers full consideration by applying the decision support tool this must be done prior to any application for joint funding</w:t>
      </w:r>
    </w:p>
    <w:p w14:paraId="49764AEB" w14:textId="5B62B081" w:rsidR="00FC3838" w:rsidRDefault="00FC3838" w:rsidP="004F2FCA">
      <w:pPr>
        <w:jc w:val="both"/>
        <w:rPr>
          <w:rFonts w:ascii="Arial" w:hAnsi="Arial" w:cs="Arial"/>
        </w:rPr>
      </w:pPr>
      <w:r>
        <w:rPr>
          <w:rFonts w:ascii="Arial" w:hAnsi="Arial" w:cs="Arial"/>
        </w:rPr>
        <w:t>Whilst it is not essential for an application for joint funding it can prove useful as the application of the decision support tool by an MDT helps identify health and care needs and if the person is found not to have a primary health need the members of the MDT can explore if the person’s needs are both health and social and an application for joint funding is warranted.</w:t>
      </w:r>
    </w:p>
    <w:p w14:paraId="5AC15047" w14:textId="4A437004" w:rsidR="00FC3838" w:rsidRDefault="00FC3838" w:rsidP="00FC3838">
      <w:pPr>
        <w:jc w:val="both"/>
        <w:rPr>
          <w:rFonts w:ascii="Arial" w:hAnsi="Arial" w:cs="Arial"/>
        </w:rPr>
      </w:pPr>
      <w:r>
        <w:rPr>
          <w:rFonts w:ascii="Arial" w:hAnsi="Arial" w:cs="Arial"/>
        </w:rPr>
        <w:t xml:space="preserve">Where health needs are identified and are no incidental to the provision of social care then an application for joint funding must be made to the complex care panel for agreement. This application must identify clearly what the persons needs are and why some of them can be defined as health needs. In </w:t>
      </w:r>
      <w:r w:rsidR="006F401F">
        <w:rPr>
          <w:rFonts w:ascii="Arial" w:hAnsi="Arial" w:cs="Arial"/>
        </w:rPr>
        <w:t>addition,</w:t>
      </w:r>
      <w:r>
        <w:rPr>
          <w:rFonts w:ascii="Arial" w:hAnsi="Arial" w:cs="Arial"/>
        </w:rPr>
        <w:t xml:space="preserve"> the application must state the universal NHS services being accessed and how the support plan meets both the health and social care needs.</w:t>
      </w:r>
    </w:p>
    <w:p w14:paraId="68CB1B46" w14:textId="28F019A5" w:rsidR="00532553" w:rsidRPr="00FC3838" w:rsidRDefault="00532553" w:rsidP="004F2FCA">
      <w:pPr>
        <w:jc w:val="both"/>
        <w:rPr>
          <w:rFonts w:ascii="Arial" w:hAnsi="Arial" w:cs="Arial"/>
        </w:rPr>
      </w:pPr>
      <w:r w:rsidRPr="00FC3838">
        <w:rPr>
          <w:rFonts w:ascii="Arial" w:hAnsi="Arial" w:cs="Arial"/>
        </w:rPr>
        <w:t xml:space="preserve">The Complex Case Panel is a multi-agency panel who will consider all applications for funding and decide regarding organisational contribution and funding. </w:t>
      </w:r>
      <w:r w:rsidR="00976009" w:rsidRPr="00FC3838">
        <w:rPr>
          <w:rFonts w:ascii="Arial" w:hAnsi="Arial" w:cs="Arial"/>
        </w:rPr>
        <w:t xml:space="preserve">Applications to Complex Case Panel should be discussed with the practitioner’s line manager, and once agreed submitted to the administration team at </w:t>
      </w:r>
      <w:hyperlink r:id="rId9" w:history="1">
        <w:r w:rsidR="00976009" w:rsidRPr="00FC3838">
          <w:rPr>
            <w:rStyle w:val="Hyperlink"/>
            <w:rFonts w:ascii="Arial" w:hAnsi="Arial" w:cs="Arial"/>
          </w:rPr>
          <w:t>complexcasepanel@bury.gov.uk</w:t>
        </w:r>
      </w:hyperlink>
    </w:p>
    <w:p w14:paraId="3FCA41FA" w14:textId="182D2AF0" w:rsidR="00FC3838" w:rsidRDefault="00532553" w:rsidP="00363C81">
      <w:pPr>
        <w:jc w:val="both"/>
        <w:rPr>
          <w:rFonts w:ascii="Arial" w:hAnsi="Arial" w:cs="Arial"/>
        </w:rPr>
      </w:pPr>
      <w:r w:rsidRPr="00FC3838">
        <w:rPr>
          <w:rFonts w:ascii="Arial" w:hAnsi="Arial" w:cs="Arial"/>
        </w:rPr>
        <w:t xml:space="preserve">A request for joint funding should be submitted by the </w:t>
      </w:r>
      <w:r w:rsidR="00363C81" w:rsidRPr="00FC3838">
        <w:rPr>
          <w:rFonts w:ascii="Arial" w:hAnsi="Arial" w:cs="Arial"/>
        </w:rPr>
        <w:t>Lead Professional</w:t>
      </w:r>
      <w:r w:rsidRPr="00FC3838">
        <w:rPr>
          <w:rFonts w:ascii="Arial" w:hAnsi="Arial" w:cs="Arial"/>
        </w:rPr>
        <w:t xml:space="preserve"> involved in the case using the Complex Case Panel Referral form (</w:t>
      </w:r>
      <w:r w:rsidR="00976009" w:rsidRPr="00FC3838">
        <w:rPr>
          <w:rFonts w:ascii="Arial" w:hAnsi="Arial" w:cs="Arial"/>
        </w:rPr>
        <w:t xml:space="preserve">available from </w:t>
      </w:r>
      <w:r w:rsidR="00363C81" w:rsidRPr="00FC3838">
        <w:rPr>
          <w:rFonts w:ascii="Arial" w:hAnsi="Arial" w:cs="Arial"/>
        </w:rPr>
        <w:t>panel’s administration team</w:t>
      </w:r>
      <w:r w:rsidRPr="00FC3838">
        <w:rPr>
          <w:rFonts w:ascii="Arial" w:hAnsi="Arial" w:cs="Arial"/>
        </w:rPr>
        <w:t xml:space="preserve">). The referral can be made from health or social care. It is expected that the </w:t>
      </w:r>
      <w:r w:rsidR="00363C81" w:rsidRPr="00FC3838">
        <w:rPr>
          <w:rFonts w:ascii="Arial" w:hAnsi="Arial" w:cs="Arial"/>
        </w:rPr>
        <w:t>Lead Professional</w:t>
      </w:r>
      <w:r w:rsidRPr="00FC3838">
        <w:rPr>
          <w:rFonts w:ascii="Arial" w:hAnsi="Arial" w:cs="Arial"/>
        </w:rPr>
        <w:t xml:space="preserve"> consults partner organisations and the wider MDT to seek their professional judgement as to the appropriateness of the funding being requested before submitting the application. The </w:t>
      </w:r>
      <w:r w:rsidR="00363C81" w:rsidRPr="00FC3838">
        <w:rPr>
          <w:rFonts w:ascii="Arial" w:hAnsi="Arial" w:cs="Arial"/>
        </w:rPr>
        <w:lastRenderedPageBreak/>
        <w:t>Lead Professional</w:t>
      </w:r>
      <w:r w:rsidRPr="00FC3838">
        <w:rPr>
          <w:rFonts w:ascii="Arial" w:hAnsi="Arial" w:cs="Arial"/>
        </w:rPr>
        <w:t xml:space="preserve"> will be named in the application form and will usually be the Local Authority Social Worker in most cases or a Nurse from the GMICB Complex Care team.</w:t>
      </w:r>
    </w:p>
    <w:p w14:paraId="54C51E59" w14:textId="19ABFF5E" w:rsidR="00363C81" w:rsidRPr="00FC3838" w:rsidRDefault="00FC3838" w:rsidP="00FC3838">
      <w:pPr>
        <w:jc w:val="both"/>
        <w:rPr>
          <w:rFonts w:ascii="Arial" w:hAnsi="Arial" w:cs="Arial"/>
        </w:rPr>
      </w:pPr>
      <w:r w:rsidRPr="00FC3838">
        <w:rPr>
          <w:rFonts w:ascii="Arial" w:hAnsi="Arial" w:cs="Arial"/>
        </w:rPr>
        <w:t>All applications</w:t>
      </w:r>
      <w:r w:rsidR="00363C81" w:rsidRPr="00FC3838">
        <w:rPr>
          <w:rFonts w:ascii="Arial" w:hAnsi="Arial" w:cs="Arial"/>
        </w:rPr>
        <w:t xml:space="preserve"> to Complex Case Panel </w:t>
      </w:r>
      <w:r w:rsidRPr="00FC3838">
        <w:rPr>
          <w:rFonts w:ascii="Arial" w:hAnsi="Arial" w:cs="Arial"/>
        </w:rPr>
        <w:t xml:space="preserve">must </w:t>
      </w:r>
      <w:r w:rsidR="00363C81" w:rsidRPr="00FC3838">
        <w:rPr>
          <w:rFonts w:ascii="Arial" w:hAnsi="Arial" w:cs="Arial"/>
        </w:rPr>
        <w:t xml:space="preserve">be discussed with the practitioner’s line manager, and once agreed submitted to the administration team at </w:t>
      </w:r>
      <w:hyperlink r:id="rId10" w:history="1">
        <w:r w:rsidR="00363C81" w:rsidRPr="00FC3838">
          <w:rPr>
            <w:rStyle w:val="Hyperlink"/>
            <w:rFonts w:ascii="Arial" w:hAnsi="Arial" w:cs="Arial"/>
          </w:rPr>
          <w:t>complexcasepanel@bury.gov.uk</w:t>
        </w:r>
      </w:hyperlink>
    </w:p>
    <w:p w14:paraId="43612124" w14:textId="77777777" w:rsidR="00FC3838" w:rsidRPr="00FC3838" w:rsidRDefault="00FC3838" w:rsidP="00FC3838">
      <w:pPr>
        <w:jc w:val="both"/>
        <w:rPr>
          <w:rFonts w:ascii="Arial" w:hAnsi="Arial" w:cs="Arial"/>
          <w:b/>
          <w:bCs/>
        </w:rPr>
      </w:pPr>
      <w:r w:rsidRPr="00FC3838">
        <w:rPr>
          <w:rFonts w:ascii="Arial" w:hAnsi="Arial" w:cs="Arial"/>
          <w:b/>
          <w:bCs/>
        </w:rPr>
        <w:t xml:space="preserve">7. </w:t>
      </w:r>
      <w:r w:rsidRPr="00FC3838">
        <w:rPr>
          <w:rFonts w:ascii="Arial" w:hAnsi="Arial" w:cs="Arial"/>
          <w:b/>
          <w:bCs/>
        </w:rPr>
        <w:tab/>
        <w:t xml:space="preserve">Section 117  Aftercare Arrangements </w:t>
      </w:r>
    </w:p>
    <w:p w14:paraId="00413960" w14:textId="2BFB9EFF" w:rsidR="00FC3838" w:rsidRPr="00FC3838" w:rsidRDefault="00FC3838" w:rsidP="00FC3838">
      <w:pPr>
        <w:jc w:val="both"/>
        <w:rPr>
          <w:rFonts w:ascii="Arial" w:hAnsi="Arial" w:cs="Arial"/>
        </w:rPr>
      </w:pPr>
      <w:r w:rsidRPr="00FC3838">
        <w:rPr>
          <w:rFonts w:ascii="Arial" w:hAnsi="Arial" w:cs="Arial"/>
        </w:rPr>
        <w:t>Under Section 117 (S117) of the Mental Health Act 1983, Local Authorities and Integrated Care Boards have a statutory joint duty to provide; in cooperation with the relevant voluntary agencies, aftercare services for any person to whom section 117 of the MHA applies until such time as they are satisfied that the person is no longer in need of such services.</w:t>
      </w:r>
    </w:p>
    <w:p w14:paraId="6142BC70" w14:textId="77777777" w:rsidR="00FC3838" w:rsidRPr="00FC3838" w:rsidRDefault="00FC3838" w:rsidP="00FC3838">
      <w:pPr>
        <w:jc w:val="both"/>
        <w:rPr>
          <w:rFonts w:ascii="Arial" w:hAnsi="Arial" w:cs="Arial"/>
        </w:rPr>
      </w:pPr>
      <w:r w:rsidRPr="00FC3838">
        <w:rPr>
          <w:rFonts w:ascii="Arial" w:hAnsi="Arial" w:cs="Arial"/>
        </w:rPr>
        <w:t>S117 After-care services must have both the purposes of “meeting a need arising from or related to the person’s mental disorder” and reducing the risk of a deterioration of the person’s mental condition. The range of services which can be provided is broad.</w:t>
      </w:r>
    </w:p>
    <w:p w14:paraId="5844071A" w14:textId="77777777" w:rsidR="00FC3838" w:rsidRPr="00FC3838" w:rsidRDefault="00FC3838" w:rsidP="00FC3838">
      <w:pPr>
        <w:jc w:val="both"/>
        <w:rPr>
          <w:rFonts w:ascii="Arial" w:hAnsi="Arial" w:cs="Arial"/>
        </w:rPr>
      </w:pPr>
      <w:r w:rsidRPr="00FC3838">
        <w:rPr>
          <w:rFonts w:ascii="Arial" w:hAnsi="Arial" w:cs="Arial"/>
        </w:rPr>
        <w:t>Services for needs that are to be met as after-care services under section 117 of the Mental Health Act 1983 should be provided under that legislation rather than as NHS Continuing Healthcare.</w:t>
      </w:r>
    </w:p>
    <w:p w14:paraId="4A155ED2" w14:textId="77777777" w:rsidR="00FC3838" w:rsidRPr="00FC3838" w:rsidRDefault="00FC3838" w:rsidP="00FC3838">
      <w:pPr>
        <w:jc w:val="both"/>
        <w:rPr>
          <w:rFonts w:ascii="Arial" w:hAnsi="Arial" w:cs="Arial"/>
        </w:rPr>
      </w:pPr>
      <w:r w:rsidRPr="00FC3838">
        <w:rPr>
          <w:rFonts w:ascii="Arial" w:hAnsi="Arial" w:cs="Arial"/>
        </w:rPr>
        <w:t>The National Framework for CHC (paragraph 121 of the 2012 edition) advises that it is not necessary to assess eligibility for NHS CHC if all the services in question are to be provided as aftercare under S117. It is not, therefore, necessary to assess eligibility for NHS CHC. However, there may be circumstances where a person's mental health aftercare needs are met under S117 and, where they may also have at the same time, physical health needs which are eligible for NHS CHC funding or social care needs, not related to their mental health that are funded by the Local Authority</w:t>
      </w:r>
    </w:p>
    <w:p w14:paraId="44D166AF" w14:textId="77777777" w:rsidR="00FC3838" w:rsidRPr="00FC3838" w:rsidRDefault="00FC3838" w:rsidP="00FC3838">
      <w:pPr>
        <w:jc w:val="both"/>
        <w:rPr>
          <w:rFonts w:ascii="Arial" w:hAnsi="Arial" w:cs="Arial"/>
        </w:rPr>
      </w:pPr>
      <w:r w:rsidRPr="00FC3838">
        <w:rPr>
          <w:rFonts w:ascii="Arial" w:hAnsi="Arial" w:cs="Arial"/>
        </w:rPr>
        <w:t>There are no powers to charge for services provided under section 117, regardless of whether they are provided by the NHS or Local Authorities. Therefore, no charges will be made to service users receiving aftercare services to support people with mental health condition under Section 117.This includes both health and social care services.</w:t>
      </w:r>
    </w:p>
    <w:p w14:paraId="7DB589C0" w14:textId="77777777" w:rsidR="00FC3838" w:rsidRPr="00FC3838" w:rsidRDefault="00FC3838" w:rsidP="00FC3838">
      <w:pPr>
        <w:jc w:val="both"/>
        <w:rPr>
          <w:rFonts w:ascii="Arial" w:hAnsi="Arial" w:cs="Arial"/>
        </w:rPr>
      </w:pPr>
      <w:r w:rsidRPr="00FC3838">
        <w:rPr>
          <w:rFonts w:ascii="Arial" w:hAnsi="Arial" w:cs="Arial"/>
        </w:rPr>
        <w:t xml:space="preserve">The Mental Health Act is clear that the provision of section 117 is the joint responsibility of the Local Authorities and their partner ICB’s but gives no specific guidance on apportionment funding, Decisions regarding funding contributions must be made following locally agreed processes and are fall within the discretion of the two public bodies. </w:t>
      </w:r>
    </w:p>
    <w:p w14:paraId="19D42C39" w14:textId="17D4F8BB" w:rsidR="00FC3838" w:rsidRPr="00FC3838" w:rsidRDefault="00FC3838" w:rsidP="00FC3838">
      <w:pPr>
        <w:jc w:val="both"/>
        <w:rPr>
          <w:rFonts w:ascii="Arial" w:hAnsi="Arial" w:cs="Arial"/>
        </w:rPr>
      </w:pPr>
      <w:r w:rsidRPr="00FC3838">
        <w:rPr>
          <w:rFonts w:ascii="Arial" w:hAnsi="Arial" w:cs="Arial"/>
        </w:rPr>
        <w:t xml:space="preserve">When considering funding contribution all organisations must abide by the limits of what they can lawfully provide and what falls within the remit of their statutory duties.   For instance, no organisation can pay for services which they do not normally fund e.g. food, clothing, household bills, rent. Other sources of funding may be available for certain services (for example housing related support) and the Lead Professional should support individuals in accessing these  and any benefits to which they are entitled. </w:t>
      </w:r>
    </w:p>
    <w:p w14:paraId="7BB143FF" w14:textId="77777777" w:rsidR="00FC3838" w:rsidRPr="00FC3838" w:rsidRDefault="00FC3838" w:rsidP="00FC3838">
      <w:pPr>
        <w:jc w:val="both"/>
        <w:rPr>
          <w:rFonts w:ascii="Arial" w:hAnsi="Arial" w:cs="Arial"/>
        </w:rPr>
      </w:pPr>
      <w:proofErr w:type="gramStart"/>
      <w:r w:rsidRPr="00FC3838">
        <w:rPr>
          <w:rFonts w:ascii="Arial" w:hAnsi="Arial" w:cs="Arial"/>
        </w:rPr>
        <w:t>Taking into account</w:t>
      </w:r>
      <w:proofErr w:type="gramEnd"/>
      <w:r w:rsidRPr="00FC3838">
        <w:rPr>
          <w:rFonts w:ascii="Arial" w:hAnsi="Arial" w:cs="Arial"/>
        </w:rPr>
        <w:t xml:space="preserve"> the above there may be instances when the proposed support package may include accommodation for the purposes of accommodation costs being eligible for consideration of joint funding the need for accommodation must be a direct result of the reason that the patient was detained for in the first place for instance within a care home or specialist residential provision.</w:t>
      </w:r>
    </w:p>
    <w:p w14:paraId="5A8A7DCE" w14:textId="77777777" w:rsidR="00FC3838" w:rsidRPr="00FC3838" w:rsidRDefault="00FC3838" w:rsidP="00FC3838">
      <w:pPr>
        <w:jc w:val="both"/>
        <w:rPr>
          <w:rFonts w:ascii="Arial" w:hAnsi="Arial" w:cs="Arial"/>
        </w:rPr>
      </w:pPr>
      <w:r w:rsidRPr="00FC3838">
        <w:rPr>
          <w:rFonts w:ascii="Arial" w:hAnsi="Arial" w:cs="Arial"/>
        </w:rPr>
        <w:lastRenderedPageBreak/>
        <w:t xml:space="preserve">All cases where S117 aftercare </w:t>
      </w:r>
      <w:proofErr w:type="gramStart"/>
      <w:r w:rsidRPr="00FC3838">
        <w:rPr>
          <w:rFonts w:ascii="Arial" w:hAnsi="Arial" w:cs="Arial"/>
        </w:rPr>
        <w:t>applies</w:t>
      </w:r>
      <w:proofErr w:type="gramEnd"/>
      <w:r w:rsidRPr="00FC3838">
        <w:rPr>
          <w:rFonts w:ascii="Arial" w:hAnsi="Arial" w:cs="Arial"/>
        </w:rPr>
        <w:t xml:space="preserve"> and joint funding is felt to be appropriate a request for joint funding will need to be made by the Lead Professional via the Complex Cases Panel  .  This will need to be made using the Complex Cases Panel Application Form available from  </w:t>
      </w:r>
      <w:hyperlink r:id="rId11" w:history="1">
        <w:r w:rsidRPr="00FC3838">
          <w:rPr>
            <w:rStyle w:val="Hyperlink"/>
            <w:rFonts w:ascii="Arial" w:hAnsi="Arial" w:cs="Arial"/>
          </w:rPr>
          <w:t>complexcasepanel@bury.gov.uk</w:t>
        </w:r>
      </w:hyperlink>
      <w:r w:rsidRPr="00FC3838">
        <w:rPr>
          <w:rFonts w:ascii="Arial" w:hAnsi="Arial" w:cs="Arial"/>
        </w:rPr>
        <w:t xml:space="preserve"> and in line with the process and principles outlined in the above Sections. </w:t>
      </w:r>
    </w:p>
    <w:p w14:paraId="0E091E88" w14:textId="77777777" w:rsidR="00FC3838" w:rsidRPr="004F005D" w:rsidRDefault="00FC3838" w:rsidP="00FC3838">
      <w:pPr>
        <w:jc w:val="both"/>
        <w:rPr>
          <w:rFonts w:ascii="Arial" w:hAnsi="Arial" w:cs="Arial"/>
          <w:b/>
          <w:bCs/>
        </w:rPr>
      </w:pPr>
      <w:r w:rsidRPr="004F005D">
        <w:rPr>
          <w:rFonts w:ascii="Arial" w:hAnsi="Arial" w:cs="Arial"/>
          <w:b/>
          <w:bCs/>
        </w:rPr>
        <w:t>Section 117 and Funded Nursing Care</w:t>
      </w:r>
    </w:p>
    <w:p w14:paraId="0EE500F4" w14:textId="77777777" w:rsidR="00FC3838" w:rsidRPr="004F005D" w:rsidRDefault="00FC3838" w:rsidP="00FC3838">
      <w:pPr>
        <w:jc w:val="both"/>
        <w:rPr>
          <w:rFonts w:ascii="Arial" w:hAnsi="Arial" w:cs="Arial"/>
        </w:rPr>
      </w:pPr>
      <w:r w:rsidRPr="004F005D">
        <w:rPr>
          <w:rFonts w:ascii="Arial" w:hAnsi="Arial" w:cs="Arial"/>
        </w:rPr>
        <w:t xml:space="preserve">The National Framework for NHS CHC and NHS-Funded Nursing Care states that: NHS-Funded Nursing Care is the funding provided by the NHS to care homes with nursing to support the provision of nursing care by a registered nurse. </w:t>
      </w:r>
    </w:p>
    <w:p w14:paraId="0262574D" w14:textId="77777777" w:rsidR="00FC3838" w:rsidRPr="004F005D" w:rsidRDefault="00FC3838" w:rsidP="00FC3838">
      <w:pPr>
        <w:jc w:val="both"/>
        <w:rPr>
          <w:rFonts w:ascii="Arial" w:hAnsi="Arial" w:cs="Arial"/>
        </w:rPr>
      </w:pPr>
      <w:r w:rsidRPr="004F005D">
        <w:rPr>
          <w:rFonts w:ascii="Arial" w:hAnsi="Arial" w:cs="Arial"/>
        </w:rPr>
        <w:t xml:space="preserve">Section 22 of the Care Act 2014 prohibits Local Authorities from providing, or arranging for the provision of, nursing care by a registered nurse. Under Section 22 of the Care Act, the Local Authority must not meet a person's eligible needs by providing or arranging services or support that are the responsibility of the NHS to provide under the National Health Service Act 2006. </w:t>
      </w:r>
    </w:p>
    <w:p w14:paraId="11BBE377" w14:textId="41571B91" w:rsidR="00FC3838" w:rsidRDefault="00FC3838" w:rsidP="00FC3838">
      <w:pPr>
        <w:jc w:val="both"/>
        <w:rPr>
          <w:rFonts w:ascii="Arial" w:hAnsi="Arial" w:cs="Arial"/>
        </w:rPr>
      </w:pPr>
      <w:r w:rsidRPr="004F005D">
        <w:rPr>
          <w:rFonts w:ascii="Arial" w:hAnsi="Arial" w:cs="Arial"/>
        </w:rPr>
        <w:t xml:space="preserve">NHS-Funded Nursing Care is considered a universal service and paid 100% by the NHS however local arrangements determine that all S117 funding is split 50/50 between the ICB and the Local Authority. </w:t>
      </w:r>
      <w:r w:rsidR="006F401F" w:rsidRPr="004F005D">
        <w:rPr>
          <w:rFonts w:ascii="Arial" w:hAnsi="Arial" w:cs="Arial"/>
        </w:rPr>
        <w:t>Therefore,</w:t>
      </w:r>
      <w:r w:rsidR="004F005D" w:rsidRPr="004F005D">
        <w:rPr>
          <w:rFonts w:ascii="Arial" w:hAnsi="Arial" w:cs="Arial"/>
        </w:rPr>
        <w:t xml:space="preserve"> where NHS Funded Nursing Care is part of the package of care and support the 50% NHS share of the gross cost of the package will include the FNCC. </w:t>
      </w:r>
    </w:p>
    <w:p w14:paraId="24C55662" w14:textId="77777777" w:rsidR="004F005D" w:rsidRPr="004F005D" w:rsidRDefault="004F005D" w:rsidP="004F005D">
      <w:pPr>
        <w:jc w:val="both"/>
        <w:rPr>
          <w:rFonts w:ascii="Arial" w:hAnsi="Arial" w:cs="Arial"/>
          <w:b/>
          <w:bCs/>
        </w:rPr>
      </w:pPr>
      <w:r w:rsidRPr="004F005D">
        <w:rPr>
          <w:rFonts w:ascii="Arial" w:hAnsi="Arial" w:cs="Arial"/>
          <w:b/>
          <w:bCs/>
        </w:rPr>
        <w:t>Admission to Independent Hospitals</w:t>
      </w:r>
    </w:p>
    <w:p w14:paraId="01D35DE2" w14:textId="45C95DF8" w:rsidR="004F005D" w:rsidRPr="004F005D" w:rsidRDefault="004F005D" w:rsidP="00FC3838">
      <w:pPr>
        <w:jc w:val="both"/>
        <w:rPr>
          <w:rFonts w:ascii="Arial" w:hAnsi="Arial" w:cs="Arial"/>
        </w:rPr>
      </w:pPr>
      <w:r w:rsidRPr="004F005D">
        <w:rPr>
          <w:rFonts w:ascii="Arial" w:hAnsi="Arial" w:cs="Arial"/>
        </w:rPr>
        <w:t xml:space="preserve">For any individuals whose needs have been assessed as requiring admission to an Independent Hospital they will be fully funded by Bury ICB . Additionally, any </w:t>
      </w:r>
      <w:r w:rsidRPr="004F005D">
        <w:rPr>
          <w:rFonts w:ascii="Arial" w:hAnsi="Arial" w:cs="Arial"/>
          <w:b/>
          <w:bCs/>
        </w:rPr>
        <w:t>Section 17</w:t>
      </w:r>
      <w:r w:rsidRPr="004F005D">
        <w:rPr>
          <w:rFonts w:ascii="Arial" w:hAnsi="Arial" w:cs="Arial"/>
        </w:rPr>
        <w:t xml:space="preserve"> Leave arrangements  (prior to Sec 117 arrangements) will be fully funded by Bury ICB. This will be time limited as supported by the Mental Health Act (and Sec 17 leave documentation) and the Code of Practice. This arrangement will normally be for a period of 2 weeks unless otherwise negotiated with the clinical team and Bury ICB Complex Care Team.</w:t>
      </w:r>
    </w:p>
    <w:p w14:paraId="564576C8" w14:textId="44B2F0C4" w:rsidR="00FC3838" w:rsidRPr="004F005D" w:rsidRDefault="004F005D" w:rsidP="004F2FCA">
      <w:pPr>
        <w:jc w:val="both"/>
        <w:rPr>
          <w:rFonts w:ascii="Arial" w:hAnsi="Arial" w:cs="Arial"/>
          <w:b/>
          <w:bCs/>
        </w:rPr>
      </w:pPr>
      <w:r w:rsidRPr="004F005D">
        <w:rPr>
          <w:rFonts w:ascii="Arial" w:hAnsi="Arial" w:cs="Arial"/>
          <w:b/>
          <w:bCs/>
        </w:rPr>
        <w:t xml:space="preserve">8. </w:t>
      </w:r>
      <w:r w:rsidR="006F401F">
        <w:rPr>
          <w:rFonts w:ascii="Arial" w:hAnsi="Arial" w:cs="Arial"/>
          <w:b/>
          <w:bCs/>
        </w:rPr>
        <w:tab/>
      </w:r>
      <w:r w:rsidRPr="004F005D">
        <w:rPr>
          <w:rFonts w:ascii="Arial" w:hAnsi="Arial" w:cs="Arial"/>
          <w:b/>
          <w:bCs/>
        </w:rPr>
        <w:t>Reviews</w:t>
      </w:r>
    </w:p>
    <w:p w14:paraId="2650CFE3" w14:textId="4288F5C7" w:rsidR="00532553" w:rsidRPr="00FC3838" w:rsidRDefault="00532553" w:rsidP="004F2FCA">
      <w:pPr>
        <w:jc w:val="both"/>
        <w:rPr>
          <w:rFonts w:ascii="Arial" w:hAnsi="Arial" w:cs="Arial"/>
        </w:rPr>
      </w:pPr>
      <w:r w:rsidRPr="00FC3838">
        <w:rPr>
          <w:rFonts w:ascii="Arial" w:hAnsi="Arial" w:cs="Arial"/>
        </w:rPr>
        <w:t xml:space="preserve">It is essential that all joint funded care packages are subject to scheduled reviews between health and social care with the identified </w:t>
      </w:r>
      <w:r w:rsidR="00363C81" w:rsidRPr="00FC3838">
        <w:rPr>
          <w:rFonts w:ascii="Arial" w:hAnsi="Arial" w:cs="Arial"/>
        </w:rPr>
        <w:t>Lead Professional</w:t>
      </w:r>
      <w:r w:rsidRPr="00FC3838">
        <w:rPr>
          <w:rFonts w:ascii="Arial" w:hAnsi="Arial" w:cs="Arial"/>
        </w:rPr>
        <w:t xml:space="preserve"> maintaining the care co-ordination role. The </w:t>
      </w:r>
      <w:r w:rsidR="00363C81" w:rsidRPr="00FC3838">
        <w:rPr>
          <w:rFonts w:ascii="Arial" w:hAnsi="Arial" w:cs="Arial"/>
        </w:rPr>
        <w:t>Lead Professional</w:t>
      </w:r>
      <w:r w:rsidRPr="00FC3838">
        <w:rPr>
          <w:rFonts w:ascii="Arial" w:hAnsi="Arial" w:cs="Arial"/>
        </w:rPr>
        <w:t xml:space="preserve"> will be responsible for undertaking reviews on behalf of all organisations who contribute financially towards the commissioned support. </w:t>
      </w:r>
    </w:p>
    <w:p w14:paraId="1DEB9F6F" w14:textId="05BD32E6" w:rsidR="00532553" w:rsidRPr="004F005D" w:rsidRDefault="00532553" w:rsidP="004F2FCA">
      <w:pPr>
        <w:jc w:val="both"/>
        <w:rPr>
          <w:rFonts w:ascii="Arial" w:hAnsi="Arial" w:cs="Arial"/>
        </w:rPr>
      </w:pPr>
      <w:r w:rsidRPr="004F005D">
        <w:rPr>
          <w:rFonts w:ascii="Arial" w:hAnsi="Arial" w:cs="Arial"/>
        </w:rPr>
        <w:t xml:space="preserve">The </w:t>
      </w:r>
      <w:r w:rsidR="00363C81" w:rsidRPr="004F005D">
        <w:rPr>
          <w:rFonts w:ascii="Arial" w:hAnsi="Arial" w:cs="Arial"/>
        </w:rPr>
        <w:t>Lead Professional</w:t>
      </w:r>
      <w:r w:rsidRPr="004F005D">
        <w:rPr>
          <w:rFonts w:ascii="Arial" w:hAnsi="Arial" w:cs="Arial"/>
        </w:rPr>
        <w:t xml:space="preserve"> must ensure that all reviews are undertaken in a timely fashion, at least 2 weeks prior to the end of the agreed </w:t>
      </w:r>
      <w:r w:rsidR="004F005D" w:rsidRPr="004F005D">
        <w:rPr>
          <w:rFonts w:ascii="Arial" w:hAnsi="Arial" w:cs="Arial"/>
        </w:rPr>
        <w:t>joint funding arrangements or annually.</w:t>
      </w:r>
      <w:r w:rsidRPr="004F005D">
        <w:rPr>
          <w:rFonts w:ascii="Arial" w:hAnsi="Arial" w:cs="Arial"/>
        </w:rPr>
        <w:t xml:space="preserve"> This is to allow sufficient time for any request for extensions or alternative arrangements to be made prior to funding end date. </w:t>
      </w:r>
    </w:p>
    <w:p w14:paraId="534DABFF" w14:textId="3C06210F" w:rsidR="00363C81" w:rsidRPr="004F005D" w:rsidRDefault="00532553" w:rsidP="004F2FCA">
      <w:pPr>
        <w:jc w:val="both"/>
        <w:rPr>
          <w:rFonts w:ascii="Arial" w:hAnsi="Arial" w:cs="Arial"/>
        </w:rPr>
      </w:pPr>
      <w:r w:rsidRPr="004F005D">
        <w:rPr>
          <w:rFonts w:ascii="Arial" w:hAnsi="Arial" w:cs="Arial"/>
        </w:rPr>
        <w:t xml:space="preserve">When additional/ongoing funding is needed the </w:t>
      </w:r>
      <w:r w:rsidR="00363C81" w:rsidRPr="004F005D">
        <w:rPr>
          <w:rFonts w:ascii="Arial" w:hAnsi="Arial" w:cs="Arial"/>
        </w:rPr>
        <w:t>Lead Professional</w:t>
      </w:r>
      <w:r w:rsidRPr="004F005D">
        <w:rPr>
          <w:rFonts w:ascii="Arial" w:hAnsi="Arial" w:cs="Arial"/>
        </w:rPr>
        <w:t xml:space="preserve"> will be responsible for completing the relevant </w:t>
      </w:r>
      <w:r w:rsidR="004F005D" w:rsidRPr="004F005D">
        <w:rPr>
          <w:rFonts w:ascii="Arial" w:hAnsi="Arial" w:cs="Arial"/>
        </w:rPr>
        <w:t xml:space="preserve">complex care panel </w:t>
      </w:r>
      <w:r w:rsidRPr="004F005D">
        <w:rPr>
          <w:rFonts w:ascii="Arial" w:hAnsi="Arial" w:cs="Arial"/>
        </w:rPr>
        <w:t>application and ensuring this is made prior to the funding end date. Although no care provision will be withdrawn without a review and discussion between health and L</w:t>
      </w:r>
      <w:r w:rsidR="00363C81" w:rsidRPr="004F005D">
        <w:rPr>
          <w:rFonts w:ascii="Arial" w:hAnsi="Arial" w:cs="Arial"/>
        </w:rPr>
        <w:t xml:space="preserve">ocal </w:t>
      </w:r>
      <w:r w:rsidRPr="004F005D">
        <w:rPr>
          <w:rFonts w:ascii="Arial" w:hAnsi="Arial" w:cs="Arial"/>
        </w:rPr>
        <w:t>A</w:t>
      </w:r>
      <w:r w:rsidR="00363C81" w:rsidRPr="004F005D">
        <w:rPr>
          <w:rFonts w:ascii="Arial" w:hAnsi="Arial" w:cs="Arial"/>
        </w:rPr>
        <w:t>uthority</w:t>
      </w:r>
      <w:r w:rsidRPr="004F005D">
        <w:rPr>
          <w:rFonts w:ascii="Arial" w:hAnsi="Arial" w:cs="Arial"/>
        </w:rPr>
        <w:t xml:space="preserve"> representatives each organisation is responsible for ensuring they have mechanisms in place to effectively monitor those cases for which they have been identified as the </w:t>
      </w:r>
      <w:r w:rsidR="00363C81" w:rsidRPr="004F005D">
        <w:rPr>
          <w:rFonts w:ascii="Arial" w:hAnsi="Arial" w:cs="Arial"/>
        </w:rPr>
        <w:t>Lead Professional</w:t>
      </w:r>
      <w:r w:rsidRPr="004F005D">
        <w:rPr>
          <w:rFonts w:ascii="Arial" w:hAnsi="Arial" w:cs="Arial"/>
        </w:rPr>
        <w:t xml:space="preserve"> to ensure end dates are not exceeded.  </w:t>
      </w:r>
    </w:p>
    <w:p w14:paraId="6060F0F7" w14:textId="1BC79938" w:rsidR="00532553" w:rsidRPr="004F005D" w:rsidRDefault="00532553" w:rsidP="004F2FCA">
      <w:pPr>
        <w:jc w:val="both"/>
        <w:rPr>
          <w:rFonts w:ascii="Arial" w:hAnsi="Arial" w:cs="Arial"/>
        </w:rPr>
      </w:pPr>
      <w:r w:rsidRPr="004F005D">
        <w:rPr>
          <w:rFonts w:ascii="Arial" w:hAnsi="Arial" w:cs="Arial"/>
        </w:rPr>
        <w:t xml:space="preserve">If the </w:t>
      </w:r>
      <w:r w:rsidR="00363C81" w:rsidRPr="004F005D">
        <w:rPr>
          <w:rFonts w:ascii="Arial" w:hAnsi="Arial" w:cs="Arial"/>
        </w:rPr>
        <w:t>Lead Professional</w:t>
      </w:r>
      <w:r w:rsidRPr="004F005D">
        <w:rPr>
          <w:rFonts w:ascii="Arial" w:hAnsi="Arial" w:cs="Arial"/>
        </w:rPr>
        <w:t xml:space="preserve"> feels that input is needed from partner organisations i.e., health support to a social care </w:t>
      </w:r>
      <w:r w:rsidR="00363C81" w:rsidRPr="004F005D">
        <w:rPr>
          <w:rFonts w:ascii="Arial" w:hAnsi="Arial" w:cs="Arial"/>
        </w:rPr>
        <w:t>professional</w:t>
      </w:r>
      <w:r w:rsidRPr="004F005D">
        <w:rPr>
          <w:rFonts w:ascii="Arial" w:hAnsi="Arial" w:cs="Arial"/>
        </w:rPr>
        <w:t xml:space="preserve"> then all organisations are expected to work collaboratively and support colleagues in working together to ensure the best outcome for individuals. </w:t>
      </w:r>
    </w:p>
    <w:p w14:paraId="11E40323" w14:textId="5926DA32" w:rsidR="004F005D" w:rsidRDefault="00532553" w:rsidP="004F2FCA">
      <w:pPr>
        <w:jc w:val="both"/>
        <w:rPr>
          <w:rFonts w:ascii="Arial" w:hAnsi="Arial" w:cs="Arial"/>
        </w:rPr>
      </w:pPr>
      <w:r w:rsidRPr="004F005D">
        <w:rPr>
          <w:rFonts w:ascii="Arial" w:hAnsi="Arial" w:cs="Arial"/>
        </w:rPr>
        <w:lastRenderedPageBreak/>
        <w:t xml:space="preserve">The </w:t>
      </w:r>
      <w:r w:rsidR="00363C81" w:rsidRPr="004F005D">
        <w:rPr>
          <w:rFonts w:ascii="Arial" w:hAnsi="Arial" w:cs="Arial"/>
        </w:rPr>
        <w:t>Lead Professional</w:t>
      </w:r>
      <w:r w:rsidRPr="004F005D">
        <w:rPr>
          <w:rFonts w:ascii="Arial" w:hAnsi="Arial" w:cs="Arial"/>
        </w:rPr>
        <w:t xml:space="preserve"> must hand over the case to another colleague if they leave the organisation or have an extended period of leave.</w:t>
      </w:r>
    </w:p>
    <w:p w14:paraId="6C620DFC" w14:textId="1FCB612D" w:rsidR="004F005D" w:rsidRPr="004F005D" w:rsidRDefault="004F005D" w:rsidP="004F2FCA">
      <w:pPr>
        <w:jc w:val="both"/>
        <w:rPr>
          <w:rFonts w:ascii="Arial" w:hAnsi="Arial" w:cs="Arial"/>
          <w:b/>
          <w:bCs/>
        </w:rPr>
      </w:pPr>
      <w:r w:rsidRPr="004F005D">
        <w:rPr>
          <w:rFonts w:ascii="Arial" w:hAnsi="Arial" w:cs="Arial"/>
          <w:b/>
          <w:bCs/>
        </w:rPr>
        <w:t xml:space="preserve">9. </w:t>
      </w:r>
      <w:r w:rsidR="006F401F">
        <w:rPr>
          <w:rFonts w:ascii="Arial" w:hAnsi="Arial" w:cs="Arial"/>
          <w:b/>
          <w:bCs/>
        </w:rPr>
        <w:tab/>
      </w:r>
      <w:r w:rsidRPr="004F005D">
        <w:rPr>
          <w:rFonts w:ascii="Arial" w:hAnsi="Arial" w:cs="Arial"/>
          <w:b/>
          <w:bCs/>
        </w:rPr>
        <w:t>Commissioning</w:t>
      </w:r>
    </w:p>
    <w:p w14:paraId="5F8E599E" w14:textId="77777777" w:rsidR="004F005D" w:rsidRDefault="00532553" w:rsidP="004F005D">
      <w:pPr>
        <w:jc w:val="both"/>
        <w:rPr>
          <w:rFonts w:ascii="Arial" w:hAnsi="Arial" w:cs="Arial"/>
        </w:rPr>
      </w:pPr>
      <w:r w:rsidRPr="004F005D">
        <w:rPr>
          <w:rFonts w:ascii="Arial" w:hAnsi="Arial" w:cs="Arial"/>
        </w:rPr>
        <w:t xml:space="preserve">The </w:t>
      </w:r>
      <w:r w:rsidR="00363C81" w:rsidRPr="004F005D">
        <w:rPr>
          <w:rFonts w:ascii="Arial" w:hAnsi="Arial" w:cs="Arial"/>
        </w:rPr>
        <w:t>Lead Professional</w:t>
      </w:r>
      <w:r w:rsidRPr="004F005D">
        <w:rPr>
          <w:rFonts w:ascii="Arial" w:hAnsi="Arial" w:cs="Arial"/>
        </w:rPr>
        <w:t xml:space="preserve"> is responsible for ensuring that services are commissioned </w:t>
      </w:r>
      <w:r w:rsidR="004F005D" w:rsidRPr="004F005D">
        <w:rPr>
          <w:rFonts w:ascii="Arial" w:hAnsi="Arial" w:cs="Arial"/>
        </w:rPr>
        <w:t>in line with</w:t>
      </w:r>
      <w:r w:rsidRPr="004F005D">
        <w:rPr>
          <w:rFonts w:ascii="Arial" w:hAnsi="Arial" w:cs="Arial"/>
        </w:rPr>
        <w:t xml:space="preserve"> the locally agreed commissioning arrangements for their organisations.  The </w:t>
      </w:r>
      <w:r w:rsidR="00363C81" w:rsidRPr="004F005D">
        <w:rPr>
          <w:rFonts w:ascii="Arial" w:hAnsi="Arial" w:cs="Arial"/>
        </w:rPr>
        <w:t>Lead Professional</w:t>
      </w:r>
      <w:r w:rsidRPr="004F005D">
        <w:rPr>
          <w:rFonts w:ascii="Arial" w:hAnsi="Arial" w:cs="Arial"/>
        </w:rPr>
        <w:t xml:space="preserve"> will be responsible for co-ordinating the identification and commissioning of a service, but it is expected that organisations will work collaboratively in the identification of potential services. The commissioning of packages will include ensuring contractual agreements are in place. </w:t>
      </w:r>
    </w:p>
    <w:p w14:paraId="3E587942" w14:textId="5C0FA734" w:rsidR="004F005D" w:rsidRPr="004F005D" w:rsidRDefault="004F005D" w:rsidP="004F005D">
      <w:pPr>
        <w:jc w:val="both"/>
        <w:rPr>
          <w:rFonts w:ascii="Arial" w:hAnsi="Arial" w:cs="Arial"/>
        </w:rPr>
      </w:pPr>
      <w:r w:rsidRPr="004F005D">
        <w:rPr>
          <w:rFonts w:ascii="Arial" w:hAnsi="Arial" w:cs="Arial"/>
        </w:rPr>
        <w:t xml:space="preserve">It is expected that all applications for joint funding adhere to the principles of effective commissioning as outlined in the NHS CHC Framework and the Care Act, and that the Local Authority Commissioning Team have been sighted on all costings/proposals prior to submitting any applications to panel. </w:t>
      </w:r>
    </w:p>
    <w:p w14:paraId="492F3C37" w14:textId="37CEE745" w:rsidR="00532553" w:rsidRPr="004F005D" w:rsidRDefault="004F005D" w:rsidP="004F2FCA">
      <w:pPr>
        <w:jc w:val="both"/>
        <w:rPr>
          <w:rFonts w:ascii="Arial" w:hAnsi="Arial" w:cs="Arial"/>
        </w:rPr>
      </w:pPr>
      <w:r w:rsidRPr="004F005D">
        <w:rPr>
          <w:rFonts w:ascii="Arial" w:hAnsi="Arial" w:cs="Arial"/>
        </w:rPr>
        <w:t>The Lead Professional is responsible for ensuring that all potential providers are registered with the relevant regulatory body i.e., CQC. The Lead Professional must also clarify that there are no restrictions on placements/provision prior to recommending the placement</w:t>
      </w:r>
    </w:p>
    <w:p w14:paraId="6DAA138D" w14:textId="585BCA3F" w:rsidR="004F005D" w:rsidRPr="004F005D" w:rsidRDefault="004F005D" w:rsidP="004F2FCA">
      <w:pPr>
        <w:jc w:val="both"/>
        <w:rPr>
          <w:rFonts w:ascii="Arial" w:hAnsi="Arial" w:cs="Arial"/>
          <w:b/>
          <w:bCs/>
        </w:rPr>
      </w:pPr>
      <w:r w:rsidRPr="004F005D">
        <w:rPr>
          <w:rFonts w:ascii="Arial" w:hAnsi="Arial" w:cs="Arial"/>
          <w:b/>
          <w:bCs/>
        </w:rPr>
        <w:t>10.</w:t>
      </w:r>
      <w:r w:rsidR="006F401F">
        <w:rPr>
          <w:rFonts w:ascii="Arial" w:hAnsi="Arial" w:cs="Arial"/>
          <w:b/>
          <w:bCs/>
        </w:rPr>
        <w:tab/>
      </w:r>
      <w:r w:rsidRPr="004F005D">
        <w:rPr>
          <w:rFonts w:ascii="Arial" w:hAnsi="Arial" w:cs="Arial"/>
          <w:b/>
          <w:bCs/>
        </w:rPr>
        <w:t>The Mental Capacity Act</w:t>
      </w:r>
    </w:p>
    <w:p w14:paraId="3425DF06" w14:textId="7BD6A5E9" w:rsidR="00532553" w:rsidRPr="004F005D" w:rsidRDefault="00532553" w:rsidP="004F2FCA">
      <w:pPr>
        <w:jc w:val="both"/>
        <w:rPr>
          <w:rFonts w:ascii="Arial" w:hAnsi="Arial" w:cs="Arial"/>
        </w:rPr>
      </w:pPr>
      <w:r w:rsidRPr="004F005D">
        <w:rPr>
          <w:rFonts w:ascii="Arial" w:hAnsi="Arial" w:cs="Arial"/>
        </w:rPr>
        <w:t xml:space="preserve">It is expected that when making any application for joint funding the principles outlined in the Mental Capacity Act (2005) are adhered to at all times and that a person centred, strengths-based approach is utilised in care/support planning.  </w:t>
      </w:r>
    </w:p>
    <w:p w14:paraId="1C4758C0" w14:textId="546AB6FD" w:rsidR="004F005D" w:rsidRPr="004F005D" w:rsidRDefault="004F005D" w:rsidP="004F005D">
      <w:pPr>
        <w:jc w:val="both"/>
        <w:rPr>
          <w:rFonts w:ascii="Arial" w:hAnsi="Arial" w:cs="Arial"/>
          <w:b/>
          <w:bCs/>
          <w:u w:val="single"/>
        </w:rPr>
      </w:pPr>
      <w:r w:rsidRPr="004F005D">
        <w:rPr>
          <w:rFonts w:ascii="Arial" w:hAnsi="Arial" w:cs="Arial"/>
          <w:b/>
          <w:bCs/>
        </w:rPr>
        <w:t xml:space="preserve">11. </w:t>
      </w:r>
      <w:r w:rsidR="006F401F">
        <w:rPr>
          <w:rFonts w:ascii="Arial" w:hAnsi="Arial" w:cs="Arial"/>
          <w:b/>
          <w:bCs/>
        </w:rPr>
        <w:tab/>
      </w:r>
      <w:r w:rsidRPr="004F005D">
        <w:rPr>
          <w:rFonts w:ascii="Arial" w:hAnsi="Arial" w:cs="Arial"/>
          <w:b/>
          <w:bCs/>
        </w:rPr>
        <w:t>Withdrawal of Funding</w:t>
      </w:r>
    </w:p>
    <w:p w14:paraId="78246E73" w14:textId="77777777" w:rsidR="004F005D" w:rsidRPr="004F005D" w:rsidRDefault="004F005D" w:rsidP="004F005D">
      <w:pPr>
        <w:jc w:val="both"/>
        <w:rPr>
          <w:rFonts w:ascii="Arial" w:hAnsi="Arial" w:cs="Arial"/>
        </w:rPr>
      </w:pPr>
      <w:r w:rsidRPr="004F005D">
        <w:rPr>
          <w:rFonts w:ascii="Arial" w:hAnsi="Arial" w:cs="Arial"/>
        </w:rPr>
        <w:t>Where care services are already in place and funded the NHS CHC Framework is clear that neither the LA nor ICB should “unilaterally withdraw from an existing funding arrangement” without consulting each other or the individual. Therefore, funding for a specific care provision will continue to be funded by the current statutory authority whilst a decision about joint funding is made.</w:t>
      </w:r>
    </w:p>
    <w:p w14:paraId="52288A19" w14:textId="77777777" w:rsidR="004F005D" w:rsidRPr="004F005D" w:rsidRDefault="004F005D" w:rsidP="004F005D">
      <w:pPr>
        <w:jc w:val="both"/>
        <w:rPr>
          <w:rFonts w:ascii="Arial" w:hAnsi="Arial" w:cs="Arial"/>
        </w:rPr>
      </w:pPr>
      <w:r w:rsidRPr="004F005D">
        <w:rPr>
          <w:rFonts w:ascii="Arial" w:hAnsi="Arial" w:cs="Arial"/>
        </w:rPr>
        <w:t>If there is agreement between the ICB Nurse Assessor and the Local Authority Social Worker that the person does not have a health need and should be solely funded by the Local Authority then a date for transfer must be agreed by both parties.</w:t>
      </w:r>
    </w:p>
    <w:p w14:paraId="3C85FA1C" w14:textId="1CFAFB87" w:rsidR="004F005D" w:rsidRPr="004F005D" w:rsidRDefault="004F005D" w:rsidP="004F005D">
      <w:pPr>
        <w:jc w:val="both"/>
        <w:rPr>
          <w:rFonts w:ascii="Arial" w:hAnsi="Arial" w:cs="Arial"/>
          <w:b/>
          <w:bCs/>
        </w:rPr>
      </w:pPr>
      <w:r w:rsidRPr="004F005D">
        <w:rPr>
          <w:rFonts w:ascii="Arial" w:hAnsi="Arial" w:cs="Arial"/>
          <w:b/>
          <w:bCs/>
        </w:rPr>
        <w:t xml:space="preserve">12. </w:t>
      </w:r>
      <w:r w:rsidR="006F401F">
        <w:rPr>
          <w:rFonts w:ascii="Arial" w:hAnsi="Arial" w:cs="Arial"/>
          <w:b/>
          <w:bCs/>
        </w:rPr>
        <w:tab/>
      </w:r>
      <w:r w:rsidRPr="004F005D">
        <w:rPr>
          <w:rFonts w:ascii="Arial" w:hAnsi="Arial" w:cs="Arial"/>
          <w:b/>
          <w:bCs/>
        </w:rPr>
        <w:t>Disputes</w:t>
      </w:r>
    </w:p>
    <w:p w14:paraId="3E21F789" w14:textId="5F2F8173" w:rsidR="004F005D" w:rsidRDefault="004F005D" w:rsidP="004F005D">
      <w:pPr>
        <w:jc w:val="both"/>
        <w:rPr>
          <w:rFonts w:ascii="Arial" w:hAnsi="Arial" w:cs="Arial"/>
        </w:rPr>
      </w:pPr>
      <w:r w:rsidRPr="004F005D">
        <w:rPr>
          <w:rFonts w:ascii="Arial" w:hAnsi="Arial" w:cs="Arial"/>
        </w:rPr>
        <w:t>Any disputes regarding who should fund care should be escalated initially to the ICB Assistant Director Complex Care and the Local Authority Assistant Director Adult Social Care Operations via the practitioner’s line manager. If an agreement can is not reached this will be made by the ICB Associate Director of Nursing, Quality &amp; Safeguarding and the Director Adult Social Care Services.</w:t>
      </w:r>
    </w:p>
    <w:p w14:paraId="73D9ECB8" w14:textId="428D879B" w:rsidR="00097A86" w:rsidRPr="004F005D" w:rsidRDefault="00097A86" w:rsidP="004F005D">
      <w:pPr>
        <w:jc w:val="both"/>
        <w:rPr>
          <w:rFonts w:ascii="Arial" w:hAnsi="Arial" w:cs="Arial"/>
        </w:rPr>
      </w:pPr>
      <w:r w:rsidRPr="00097A86">
        <w:rPr>
          <w:rFonts w:ascii="Arial" w:hAnsi="Arial" w:cs="Arial"/>
        </w:rPr>
        <w:t>If, after placing a patient in area outside of the borough, there is a dispute between ICB’s or LA’s  as to who is the Responsible Commissioner and funding is already in place this arrangement shall continue on a without prejudice basis until the dispute is resolved.</w:t>
      </w:r>
    </w:p>
    <w:p w14:paraId="1CB0B145" w14:textId="639027EF" w:rsidR="00363C81" w:rsidRPr="004F005D" w:rsidRDefault="004F005D" w:rsidP="004F2FCA">
      <w:pPr>
        <w:jc w:val="both"/>
        <w:rPr>
          <w:rFonts w:ascii="Arial" w:hAnsi="Arial" w:cs="Arial"/>
          <w:b/>
          <w:bCs/>
          <w:u w:val="single"/>
        </w:rPr>
      </w:pPr>
      <w:r w:rsidRPr="004F005D">
        <w:rPr>
          <w:rFonts w:ascii="Arial" w:hAnsi="Arial" w:cs="Arial"/>
          <w:b/>
          <w:bCs/>
        </w:rPr>
        <w:t xml:space="preserve">13. </w:t>
      </w:r>
      <w:r w:rsidR="006F401F">
        <w:rPr>
          <w:rFonts w:ascii="Arial" w:hAnsi="Arial" w:cs="Arial"/>
          <w:b/>
          <w:bCs/>
        </w:rPr>
        <w:tab/>
      </w:r>
      <w:r w:rsidR="00363C81" w:rsidRPr="004F005D">
        <w:rPr>
          <w:rFonts w:ascii="Arial" w:hAnsi="Arial" w:cs="Arial"/>
          <w:b/>
          <w:bCs/>
        </w:rPr>
        <w:t>Governance and Documentation</w:t>
      </w:r>
    </w:p>
    <w:p w14:paraId="399605D1" w14:textId="19FA8AA5" w:rsidR="00A438BA" w:rsidRPr="004F005D" w:rsidRDefault="00532553" w:rsidP="004F2FCA">
      <w:pPr>
        <w:jc w:val="both"/>
        <w:rPr>
          <w:rFonts w:ascii="Arial" w:hAnsi="Arial" w:cs="Arial"/>
        </w:rPr>
      </w:pPr>
      <w:r w:rsidRPr="004F005D">
        <w:rPr>
          <w:rFonts w:ascii="Arial" w:hAnsi="Arial" w:cs="Arial"/>
        </w:rPr>
        <w:lastRenderedPageBreak/>
        <w:t>All organisations will receive notification detailing the funding decision and the proposed review date as outlined in the Complex Case Panel Terms of reference</w:t>
      </w:r>
      <w:r w:rsidR="00A438BA" w:rsidRPr="004F005D">
        <w:rPr>
          <w:rFonts w:ascii="Arial" w:hAnsi="Arial" w:cs="Arial"/>
        </w:rPr>
        <w:t xml:space="preserve"> and the Complex Case Panel administration standard operating procedures.</w:t>
      </w:r>
    </w:p>
    <w:p w14:paraId="037CCFFE" w14:textId="4A981E2C" w:rsidR="00532553" w:rsidRDefault="00532553" w:rsidP="002865F5">
      <w:pPr>
        <w:jc w:val="both"/>
      </w:pPr>
      <w:r>
        <w:t xml:space="preserve">If, after placing a patient in area outside of the borough, there is a dispute between ICB’s or LA’s  as to who is </w:t>
      </w:r>
      <w:r w:rsidR="002865F5">
        <w:t>the R</w:t>
      </w:r>
      <w:r>
        <w:t>esponsible</w:t>
      </w:r>
      <w:r w:rsidR="002865F5">
        <w:t xml:space="preserve"> Commissioner</w:t>
      </w:r>
      <w:r>
        <w:t xml:space="preserve"> and funding is already in place this arrangement shall continue on a without prejudice basis until the dispute is resolved.</w:t>
      </w:r>
    </w:p>
    <w:p w14:paraId="6643FD31" w14:textId="11E47B38" w:rsidR="00532553" w:rsidRPr="00A35988" w:rsidRDefault="002865F5" w:rsidP="004F2FCA">
      <w:pPr>
        <w:jc w:val="both"/>
        <w:rPr>
          <w:b/>
          <w:bCs/>
        </w:rPr>
      </w:pPr>
      <w:r w:rsidRPr="00A35988">
        <w:rPr>
          <w:b/>
          <w:bCs/>
        </w:rPr>
        <w:t>Policy Control</w:t>
      </w:r>
    </w:p>
    <w:p w14:paraId="13FA51E3" w14:textId="4CA4CAFB" w:rsidR="002865F5" w:rsidRDefault="002865F5" w:rsidP="004F2FCA">
      <w:pPr>
        <w:jc w:val="both"/>
      </w:pPr>
      <w:r>
        <w:t>Version – Final agreed at EMT on **</w:t>
      </w:r>
    </w:p>
    <w:p w14:paraId="088E55F7" w14:textId="180AAF22" w:rsidR="002865F5" w:rsidRDefault="002865F5" w:rsidP="004F2FCA">
      <w:pPr>
        <w:jc w:val="both"/>
      </w:pPr>
      <w:r>
        <w:t>Policy Date: 01.0</w:t>
      </w:r>
      <w:r w:rsidR="006F401F">
        <w:t>6</w:t>
      </w:r>
      <w:r>
        <w:t>.2025</w:t>
      </w:r>
    </w:p>
    <w:p w14:paraId="0A774B58" w14:textId="6CA316EC" w:rsidR="002865F5" w:rsidRDefault="002865F5" w:rsidP="004F2FCA">
      <w:pPr>
        <w:jc w:val="both"/>
      </w:pPr>
      <w:r>
        <w:t>Policy Review Date:</w:t>
      </w:r>
      <w:r w:rsidR="00A35988">
        <w:t xml:space="preserve"> </w:t>
      </w:r>
      <w:r>
        <w:t>01.0</w:t>
      </w:r>
      <w:r w:rsidR="006F401F">
        <w:t>7</w:t>
      </w:r>
      <w:r>
        <w:t>.2026</w:t>
      </w:r>
    </w:p>
    <w:p w14:paraId="59552A4C" w14:textId="77777777" w:rsidR="00532553" w:rsidRDefault="00532553" w:rsidP="004F2FCA">
      <w:pPr>
        <w:jc w:val="both"/>
      </w:pPr>
    </w:p>
    <w:p w14:paraId="4ED418D0" w14:textId="7BB3B388" w:rsidR="00097A86" w:rsidRDefault="00097A86">
      <w:r>
        <w:br w:type="page"/>
      </w:r>
    </w:p>
    <w:p w14:paraId="37FB60E4" w14:textId="55AC4AD8" w:rsidR="004C4F1B" w:rsidRPr="002236D2" w:rsidRDefault="00097A86" w:rsidP="004F2FCA">
      <w:pPr>
        <w:jc w:val="both"/>
        <w:rPr>
          <w:rFonts w:ascii="Arial" w:hAnsi="Arial" w:cs="Arial"/>
          <w:b/>
          <w:bCs/>
        </w:rPr>
      </w:pPr>
      <w:r w:rsidRPr="002236D2">
        <w:rPr>
          <w:rFonts w:ascii="Arial" w:hAnsi="Arial" w:cs="Arial"/>
          <w:b/>
          <w:bCs/>
        </w:rPr>
        <w:lastRenderedPageBreak/>
        <w:t>Identifying Health and Care Needs</w:t>
      </w:r>
    </w:p>
    <w:p w14:paraId="608593A8" w14:textId="19EF42D0" w:rsidR="00097A86" w:rsidRDefault="00097A86" w:rsidP="00097A86">
      <w:pPr>
        <w:pStyle w:val="Default"/>
        <w:rPr>
          <w:sz w:val="22"/>
          <w:szCs w:val="22"/>
        </w:rPr>
      </w:pPr>
      <w:r w:rsidRPr="00097A86">
        <w:rPr>
          <w:sz w:val="22"/>
          <w:szCs w:val="22"/>
        </w:rPr>
        <w:t xml:space="preserve">Some health needs may be directly associated with achieving daily living activities, whilst others are less obviously connected. </w:t>
      </w:r>
      <w:r>
        <w:rPr>
          <w:sz w:val="22"/>
          <w:szCs w:val="22"/>
        </w:rPr>
        <w:t>T</w:t>
      </w:r>
      <w:r w:rsidRPr="00097A86">
        <w:rPr>
          <w:sz w:val="22"/>
          <w:szCs w:val="22"/>
        </w:rPr>
        <w:t xml:space="preserve">his appendix deals with recognising health needs that are closely connected with specific social care eligibility outcomes. </w:t>
      </w:r>
    </w:p>
    <w:p w14:paraId="3C793D20" w14:textId="77777777" w:rsidR="00097A86" w:rsidRPr="00097A86" w:rsidRDefault="00097A86" w:rsidP="00097A86">
      <w:pPr>
        <w:pStyle w:val="Default"/>
        <w:rPr>
          <w:sz w:val="22"/>
          <w:szCs w:val="22"/>
        </w:rPr>
      </w:pPr>
    </w:p>
    <w:p w14:paraId="7F7E816C" w14:textId="409AC16A" w:rsidR="00097A86" w:rsidRDefault="00097A86" w:rsidP="00097A86">
      <w:pPr>
        <w:pStyle w:val="Default"/>
        <w:rPr>
          <w:b/>
          <w:bCs/>
          <w:sz w:val="22"/>
          <w:szCs w:val="22"/>
        </w:rPr>
      </w:pPr>
      <w:r w:rsidRPr="00097A86">
        <w:rPr>
          <w:b/>
          <w:bCs/>
          <w:sz w:val="22"/>
          <w:szCs w:val="22"/>
        </w:rPr>
        <w:t xml:space="preserve">ELIGIBILITY OUTCOMES </w:t>
      </w:r>
      <w:r w:rsidR="002236D2">
        <w:rPr>
          <w:b/>
          <w:bCs/>
          <w:sz w:val="22"/>
          <w:szCs w:val="22"/>
        </w:rPr>
        <w:t>RELATING TO SOCIAL CARE ELIGIBILITY</w:t>
      </w:r>
    </w:p>
    <w:p w14:paraId="106A3CF7" w14:textId="77777777" w:rsidR="00097A86" w:rsidRPr="00097A86" w:rsidRDefault="00097A86" w:rsidP="00097A86">
      <w:pPr>
        <w:pStyle w:val="Default"/>
        <w:rPr>
          <w:sz w:val="22"/>
          <w:szCs w:val="22"/>
        </w:rPr>
      </w:pPr>
    </w:p>
    <w:p w14:paraId="333813EE" w14:textId="77777777" w:rsidR="00097A86" w:rsidRPr="00097A86" w:rsidRDefault="00097A86" w:rsidP="00097A86">
      <w:pPr>
        <w:pStyle w:val="Default"/>
        <w:numPr>
          <w:ilvl w:val="0"/>
          <w:numId w:val="11"/>
        </w:numPr>
        <w:rPr>
          <w:b/>
          <w:bCs/>
          <w:i/>
          <w:iCs/>
          <w:sz w:val="22"/>
          <w:szCs w:val="22"/>
        </w:rPr>
      </w:pPr>
      <w:r w:rsidRPr="00097A86">
        <w:rPr>
          <w:b/>
          <w:bCs/>
          <w:i/>
          <w:iCs/>
          <w:sz w:val="22"/>
          <w:szCs w:val="22"/>
        </w:rPr>
        <w:t xml:space="preserve">MANAGING AND MAINTAINING NUTRITION </w:t>
      </w:r>
    </w:p>
    <w:p w14:paraId="09616981" w14:textId="77777777" w:rsidR="00097A86" w:rsidRPr="00097A86" w:rsidRDefault="00097A86" w:rsidP="00097A86">
      <w:pPr>
        <w:pStyle w:val="Default"/>
        <w:rPr>
          <w:sz w:val="22"/>
          <w:szCs w:val="22"/>
        </w:rPr>
      </w:pPr>
    </w:p>
    <w:p w14:paraId="79193DBF" w14:textId="77777777" w:rsidR="00097A86" w:rsidRPr="00097A86" w:rsidRDefault="00097A86" w:rsidP="00097A86">
      <w:pPr>
        <w:pStyle w:val="Default"/>
        <w:rPr>
          <w:sz w:val="22"/>
          <w:szCs w:val="22"/>
        </w:rPr>
      </w:pPr>
      <w:r w:rsidRPr="00097A86">
        <w:rPr>
          <w:sz w:val="22"/>
          <w:szCs w:val="22"/>
        </w:rPr>
        <w:t xml:space="preserve">This is about the daily activities of eating and drinking. </w:t>
      </w:r>
    </w:p>
    <w:p w14:paraId="5862B7F4" w14:textId="77777777" w:rsidR="00097A86" w:rsidRPr="00097A86" w:rsidRDefault="00097A86" w:rsidP="00097A86">
      <w:pPr>
        <w:pStyle w:val="Default"/>
        <w:rPr>
          <w:sz w:val="22"/>
          <w:szCs w:val="22"/>
        </w:rPr>
      </w:pPr>
      <w:r w:rsidRPr="00097A86">
        <w:rPr>
          <w:sz w:val="22"/>
          <w:szCs w:val="22"/>
        </w:rPr>
        <w:t xml:space="preserve">The activity of eating involves food being placed inside the mouth, chewed and swallowed and will constitute social care where no elevated risks are present. </w:t>
      </w:r>
    </w:p>
    <w:p w14:paraId="5E37F750" w14:textId="77777777" w:rsidR="00097A86" w:rsidRPr="00097A86" w:rsidRDefault="00097A86" w:rsidP="00097A86">
      <w:pPr>
        <w:pStyle w:val="Default"/>
        <w:rPr>
          <w:sz w:val="22"/>
          <w:szCs w:val="22"/>
        </w:rPr>
      </w:pPr>
      <w:r w:rsidRPr="00097A86">
        <w:rPr>
          <w:b/>
          <w:bCs/>
          <w:i/>
          <w:iCs/>
          <w:sz w:val="22"/>
          <w:szCs w:val="22"/>
        </w:rPr>
        <w:t xml:space="preserve">Elevated risks giving rise to health needs include: </w:t>
      </w:r>
    </w:p>
    <w:p w14:paraId="24179294" w14:textId="77777777" w:rsidR="00097A86" w:rsidRPr="00097A86" w:rsidRDefault="00097A86" w:rsidP="00097A86">
      <w:pPr>
        <w:pStyle w:val="Default"/>
        <w:numPr>
          <w:ilvl w:val="0"/>
          <w:numId w:val="12"/>
        </w:numPr>
        <w:spacing w:after="55"/>
        <w:rPr>
          <w:sz w:val="22"/>
          <w:szCs w:val="22"/>
        </w:rPr>
      </w:pPr>
      <w:r w:rsidRPr="00097A86">
        <w:rPr>
          <w:sz w:val="22"/>
          <w:szCs w:val="22"/>
        </w:rPr>
        <w:t xml:space="preserve">Managing the risks of malnutrition and dehydration </w:t>
      </w:r>
    </w:p>
    <w:p w14:paraId="375EFB6D" w14:textId="77777777" w:rsidR="00097A86" w:rsidRPr="00097A86" w:rsidRDefault="00097A86" w:rsidP="00097A86">
      <w:pPr>
        <w:pStyle w:val="Default"/>
        <w:numPr>
          <w:ilvl w:val="0"/>
          <w:numId w:val="12"/>
        </w:numPr>
        <w:spacing w:after="55"/>
        <w:rPr>
          <w:sz w:val="22"/>
          <w:szCs w:val="22"/>
        </w:rPr>
      </w:pPr>
      <w:r w:rsidRPr="00097A86">
        <w:rPr>
          <w:sz w:val="22"/>
          <w:szCs w:val="22"/>
        </w:rPr>
        <w:t xml:space="preserve">Managing risks relating to airways during eating and drinking where a person has difficulty swallowing </w:t>
      </w:r>
    </w:p>
    <w:p w14:paraId="51E05F43" w14:textId="77777777" w:rsidR="00097A86" w:rsidRPr="00097A86" w:rsidRDefault="00097A86" w:rsidP="00097A86">
      <w:pPr>
        <w:pStyle w:val="Default"/>
        <w:numPr>
          <w:ilvl w:val="0"/>
          <w:numId w:val="12"/>
        </w:numPr>
        <w:spacing w:after="55"/>
        <w:rPr>
          <w:sz w:val="22"/>
          <w:szCs w:val="22"/>
        </w:rPr>
      </w:pPr>
      <w:r w:rsidRPr="00097A86">
        <w:rPr>
          <w:sz w:val="22"/>
          <w:szCs w:val="22"/>
        </w:rPr>
        <w:t xml:space="preserve">Managing clinically assisted nutrition and hydration (CANH), such as a PEG, even when it is non-problematic </w:t>
      </w:r>
    </w:p>
    <w:p w14:paraId="27B35EF0" w14:textId="77777777" w:rsidR="00097A86" w:rsidRPr="00097A86" w:rsidRDefault="00097A86" w:rsidP="00097A86">
      <w:pPr>
        <w:pStyle w:val="Default"/>
        <w:numPr>
          <w:ilvl w:val="0"/>
          <w:numId w:val="12"/>
        </w:numPr>
        <w:spacing w:after="55"/>
        <w:rPr>
          <w:sz w:val="22"/>
          <w:szCs w:val="22"/>
        </w:rPr>
      </w:pPr>
      <w:r w:rsidRPr="00097A86">
        <w:rPr>
          <w:sz w:val="22"/>
          <w:szCs w:val="22"/>
        </w:rPr>
        <w:t xml:space="preserve">Managing other clinical interventions </w:t>
      </w:r>
    </w:p>
    <w:p w14:paraId="274DEF9C" w14:textId="77777777" w:rsidR="00097A86" w:rsidRPr="00097A86" w:rsidRDefault="00097A86" w:rsidP="00097A86">
      <w:pPr>
        <w:pStyle w:val="Default"/>
        <w:numPr>
          <w:ilvl w:val="0"/>
          <w:numId w:val="12"/>
        </w:numPr>
        <w:spacing w:after="55"/>
        <w:rPr>
          <w:sz w:val="22"/>
          <w:szCs w:val="22"/>
        </w:rPr>
      </w:pPr>
      <w:r w:rsidRPr="00097A86">
        <w:rPr>
          <w:sz w:val="22"/>
          <w:szCs w:val="22"/>
        </w:rPr>
        <w:t xml:space="preserve">Management of eating disorders </w:t>
      </w:r>
    </w:p>
    <w:p w14:paraId="73EE0604" w14:textId="77777777" w:rsidR="00097A86" w:rsidRPr="00097A86" w:rsidRDefault="00097A86" w:rsidP="00097A86">
      <w:pPr>
        <w:pStyle w:val="Default"/>
        <w:numPr>
          <w:ilvl w:val="0"/>
          <w:numId w:val="12"/>
        </w:numPr>
        <w:rPr>
          <w:sz w:val="22"/>
          <w:szCs w:val="22"/>
        </w:rPr>
      </w:pPr>
      <w:r w:rsidRPr="00097A86">
        <w:rPr>
          <w:sz w:val="22"/>
          <w:szCs w:val="22"/>
        </w:rPr>
        <w:t xml:space="preserve">Management of food allergies and intolerances </w:t>
      </w:r>
    </w:p>
    <w:p w14:paraId="23C7CB35" w14:textId="77777777" w:rsidR="002236D2" w:rsidRDefault="002236D2" w:rsidP="00097A86">
      <w:pPr>
        <w:pStyle w:val="Default"/>
        <w:rPr>
          <w:b/>
          <w:bCs/>
          <w:sz w:val="22"/>
          <w:szCs w:val="22"/>
        </w:rPr>
      </w:pPr>
    </w:p>
    <w:p w14:paraId="7F932FCB" w14:textId="692DF974" w:rsidR="00097A86" w:rsidRPr="00097A86" w:rsidRDefault="00097A86" w:rsidP="00097A86">
      <w:pPr>
        <w:pStyle w:val="Default"/>
        <w:rPr>
          <w:sz w:val="22"/>
          <w:szCs w:val="22"/>
        </w:rPr>
      </w:pPr>
      <w:r w:rsidRPr="00097A86">
        <w:rPr>
          <w:b/>
          <w:bCs/>
          <w:sz w:val="22"/>
          <w:szCs w:val="22"/>
        </w:rPr>
        <w:t xml:space="preserve">Health professionals </w:t>
      </w:r>
    </w:p>
    <w:p w14:paraId="4C9D8E88" w14:textId="77777777" w:rsidR="00097A86" w:rsidRPr="00097A86" w:rsidRDefault="00097A86" w:rsidP="00097A86">
      <w:pPr>
        <w:pStyle w:val="Default"/>
        <w:numPr>
          <w:ilvl w:val="0"/>
          <w:numId w:val="13"/>
        </w:numPr>
        <w:spacing w:after="57"/>
        <w:rPr>
          <w:sz w:val="22"/>
          <w:szCs w:val="22"/>
        </w:rPr>
      </w:pPr>
      <w:r w:rsidRPr="00097A86">
        <w:rPr>
          <w:sz w:val="22"/>
          <w:szCs w:val="22"/>
        </w:rPr>
        <w:t xml:space="preserve">SALT </w:t>
      </w:r>
    </w:p>
    <w:p w14:paraId="5371E720" w14:textId="77777777" w:rsidR="00097A86" w:rsidRPr="00097A86" w:rsidRDefault="00097A86" w:rsidP="00097A86">
      <w:pPr>
        <w:pStyle w:val="Default"/>
        <w:numPr>
          <w:ilvl w:val="0"/>
          <w:numId w:val="13"/>
        </w:numPr>
        <w:spacing w:after="57"/>
        <w:rPr>
          <w:sz w:val="22"/>
          <w:szCs w:val="22"/>
        </w:rPr>
      </w:pPr>
      <w:r w:rsidRPr="00097A86">
        <w:rPr>
          <w:sz w:val="22"/>
          <w:szCs w:val="22"/>
        </w:rPr>
        <w:t xml:space="preserve">GP/district nurse </w:t>
      </w:r>
    </w:p>
    <w:p w14:paraId="53BC89CB" w14:textId="77777777" w:rsidR="00097A86" w:rsidRPr="00097A86" w:rsidRDefault="00097A86" w:rsidP="00097A86">
      <w:pPr>
        <w:pStyle w:val="Default"/>
        <w:numPr>
          <w:ilvl w:val="0"/>
          <w:numId w:val="13"/>
        </w:numPr>
        <w:spacing w:after="57"/>
        <w:rPr>
          <w:sz w:val="22"/>
          <w:szCs w:val="22"/>
        </w:rPr>
      </w:pPr>
      <w:r w:rsidRPr="00097A86">
        <w:rPr>
          <w:sz w:val="22"/>
          <w:szCs w:val="22"/>
        </w:rPr>
        <w:t xml:space="preserve">Hospital </w:t>
      </w:r>
    </w:p>
    <w:p w14:paraId="02FF226B" w14:textId="77777777" w:rsidR="00097A86" w:rsidRPr="00097A86" w:rsidRDefault="00097A86" w:rsidP="00097A86">
      <w:pPr>
        <w:pStyle w:val="Default"/>
        <w:numPr>
          <w:ilvl w:val="0"/>
          <w:numId w:val="13"/>
        </w:numPr>
        <w:spacing w:after="57"/>
        <w:rPr>
          <w:sz w:val="22"/>
          <w:szCs w:val="22"/>
        </w:rPr>
      </w:pPr>
      <w:r w:rsidRPr="00097A86">
        <w:rPr>
          <w:sz w:val="22"/>
          <w:szCs w:val="22"/>
        </w:rPr>
        <w:t xml:space="preserve">Dietician </w:t>
      </w:r>
    </w:p>
    <w:p w14:paraId="10D8050B" w14:textId="77777777" w:rsidR="00097A86" w:rsidRPr="00097A86" w:rsidRDefault="00097A86" w:rsidP="00097A86">
      <w:pPr>
        <w:pStyle w:val="Default"/>
        <w:numPr>
          <w:ilvl w:val="0"/>
          <w:numId w:val="13"/>
        </w:numPr>
        <w:rPr>
          <w:sz w:val="22"/>
          <w:szCs w:val="22"/>
        </w:rPr>
      </w:pPr>
      <w:r w:rsidRPr="00097A86">
        <w:rPr>
          <w:sz w:val="22"/>
          <w:szCs w:val="22"/>
        </w:rPr>
        <w:t xml:space="preserve">Nutritionist </w:t>
      </w:r>
    </w:p>
    <w:p w14:paraId="4A4623E1" w14:textId="77777777" w:rsidR="00097A86" w:rsidRPr="00097A86" w:rsidRDefault="00097A86" w:rsidP="00097A86">
      <w:pPr>
        <w:pStyle w:val="Default"/>
        <w:rPr>
          <w:sz w:val="22"/>
          <w:szCs w:val="22"/>
        </w:rPr>
      </w:pPr>
    </w:p>
    <w:p w14:paraId="7FDB5802" w14:textId="77777777" w:rsidR="00097A86" w:rsidRPr="00097A86" w:rsidRDefault="00097A86" w:rsidP="00097A86">
      <w:pPr>
        <w:pStyle w:val="Default"/>
        <w:rPr>
          <w:sz w:val="22"/>
          <w:szCs w:val="22"/>
        </w:rPr>
      </w:pPr>
      <w:r w:rsidRPr="00097A86">
        <w:rPr>
          <w:b/>
          <w:bCs/>
          <w:sz w:val="22"/>
          <w:szCs w:val="22"/>
        </w:rPr>
        <w:t xml:space="preserve">Risk assessment tools </w:t>
      </w:r>
    </w:p>
    <w:p w14:paraId="1CCC4CCC" w14:textId="77777777" w:rsidR="00097A86" w:rsidRPr="00097A86" w:rsidRDefault="00097A86" w:rsidP="00097A86">
      <w:pPr>
        <w:pStyle w:val="Default"/>
        <w:numPr>
          <w:ilvl w:val="0"/>
          <w:numId w:val="14"/>
        </w:numPr>
        <w:rPr>
          <w:sz w:val="22"/>
          <w:szCs w:val="22"/>
        </w:rPr>
      </w:pPr>
      <w:r w:rsidRPr="00097A86">
        <w:rPr>
          <w:sz w:val="22"/>
          <w:szCs w:val="22"/>
        </w:rPr>
        <w:t xml:space="preserve">Malnutrition universal screening tool (MUST) </w:t>
      </w:r>
    </w:p>
    <w:p w14:paraId="64AB028D" w14:textId="77777777" w:rsidR="00097A86" w:rsidRPr="00097A86" w:rsidRDefault="00097A86" w:rsidP="00097A86">
      <w:pPr>
        <w:pStyle w:val="Default"/>
        <w:rPr>
          <w:sz w:val="22"/>
          <w:szCs w:val="22"/>
        </w:rPr>
      </w:pPr>
    </w:p>
    <w:p w14:paraId="0F8DD044" w14:textId="77777777" w:rsidR="00097A86" w:rsidRPr="00097A86" w:rsidRDefault="00097A86" w:rsidP="00097A86">
      <w:pPr>
        <w:pStyle w:val="Default"/>
        <w:rPr>
          <w:b/>
          <w:bCs/>
          <w:i/>
          <w:iCs/>
          <w:sz w:val="22"/>
          <w:szCs w:val="22"/>
        </w:rPr>
      </w:pPr>
      <w:r w:rsidRPr="00097A86">
        <w:rPr>
          <w:b/>
          <w:bCs/>
          <w:i/>
          <w:iCs/>
          <w:sz w:val="22"/>
          <w:szCs w:val="22"/>
        </w:rPr>
        <w:t xml:space="preserve">MAINTAINING PERSONAL HYGIENE </w:t>
      </w:r>
    </w:p>
    <w:p w14:paraId="4E7B698A" w14:textId="77777777" w:rsidR="00097A86" w:rsidRPr="00097A86" w:rsidRDefault="00097A86" w:rsidP="00097A86">
      <w:pPr>
        <w:pStyle w:val="Default"/>
        <w:rPr>
          <w:sz w:val="22"/>
          <w:szCs w:val="22"/>
        </w:rPr>
      </w:pPr>
    </w:p>
    <w:p w14:paraId="6F8CACBF" w14:textId="77777777" w:rsidR="00097A86" w:rsidRPr="00097A86" w:rsidRDefault="00097A86" w:rsidP="00097A86">
      <w:pPr>
        <w:pStyle w:val="Default"/>
        <w:rPr>
          <w:sz w:val="22"/>
          <w:szCs w:val="22"/>
        </w:rPr>
      </w:pPr>
      <w:r w:rsidRPr="00097A86">
        <w:rPr>
          <w:sz w:val="22"/>
          <w:szCs w:val="22"/>
        </w:rPr>
        <w:t xml:space="preserve">This is about the activity of washing and grooming, including laundry. </w:t>
      </w:r>
    </w:p>
    <w:p w14:paraId="02CBFE85" w14:textId="77777777" w:rsidR="00097A86" w:rsidRPr="00097A86" w:rsidRDefault="00097A86" w:rsidP="00097A86">
      <w:pPr>
        <w:pStyle w:val="Default"/>
        <w:rPr>
          <w:sz w:val="22"/>
          <w:szCs w:val="22"/>
        </w:rPr>
      </w:pPr>
      <w:r w:rsidRPr="00097A86">
        <w:rPr>
          <w:b/>
          <w:bCs/>
          <w:i/>
          <w:iCs/>
          <w:sz w:val="22"/>
          <w:szCs w:val="22"/>
        </w:rPr>
        <w:t xml:space="preserve">Elevated risks giving rise to health needs include: </w:t>
      </w:r>
    </w:p>
    <w:p w14:paraId="66EFF3C7" w14:textId="77777777" w:rsidR="00097A86" w:rsidRPr="00097A86" w:rsidRDefault="00097A86" w:rsidP="00097A86">
      <w:pPr>
        <w:pStyle w:val="Default"/>
        <w:numPr>
          <w:ilvl w:val="0"/>
          <w:numId w:val="16"/>
        </w:numPr>
        <w:rPr>
          <w:sz w:val="22"/>
          <w:szCs w:val="22"/>
        </w:rPr>
      </w:pPr>
      <w:r w:rsidRPr="00097A86">
        <w:rPr>
          <w:sz w:val="22"/>
          <w:szCs w:val="22"/>
        </w:rPr>
        <w:t>Preventative interventions due to an elevated risk of skin breakdown (</w:t>
      </w:r>
      <w:proofErr w:type="spellStart"/>
      <w:r w:rsidRPr="00097A86">
        <w:rPr>
          <w:sz w:val="22"/>
          <w:szCs w:val="22"/>
        </w:rPr>
        <w:t>Waterlow</w:t>
      </w:r>
      <w:proofErr w:type="spellEnd"/>
      <w:r w:rsidRPr="00097A86">
        <w:rPr>
          <w:sz w:val="22"/>
          <w:szCs w:val="22"/>
        </w:rPr>
        <w:t xml:space="preserve"> score of 10+) including </w:t>
      </w:r>
    </w:p>
    <w:p w14:paraId="7366163C" w14:textId="77777777" w:rsidR="00097A86" w:rsidRDefault="00097A86" w:rsidP="00097A86">
      <w:pPr>
        <w:pStyle w:val="Default"/>
      </w:pPr>
    </w:p>
    <w:p w14:paraId="2E6FED3D" w14:textId="77777777" w:rsidR="00097A86" w:rsidRDefault="00097A86" w:rsidP="00097A86">
      <w:pPr>
        <w:pStyle w:val="Default"/>
        <w:numPr>
          <w:ilvl w:val="3"/>
          <w:numId w:val="23"/>
        </w:numPr>
        <w:spacing w:after="42"/>
        <w:ind w:left="1276"/>
      </w:pPr>
      <w:r>
        <w:t xml:space="preserve">Repositioning (and equipment used for that purpose) </w:t>
      </w:r>
    </w:p>
    <w:p w14:paraId="16ED174D" w14:textId="77777777" w:rsidR="00097A86" w:rsidRDefault="00097A86" w:rsidP="00097A86">
      <w:pPr>
        <w:pStyle w:val="Default"/>
        <w:numPr>
          <w:ilvl w:val="3"/>
          <w:numId w:val="23"/>
        </w:numPr>
        <w:spacing w:after="42"/>
        <w:ind w:left="1276"/>
      </w:pPr>
      <w:r>
        <w:t xml:space="preserve">Monitoring skin that is at risk </w:t>
      </w:r>
    </w:p>
    <w:p w14:paraId="20A3AC28" w14:textId="77777777" w:rsidR="00097A86" w:rsidRDefault="00097A86" w:rsidP="00097A86">
      <w:pPr>
        <w:pStyle w:val="Default"/>
        <w:numPr>
          <w:ilvl w:val="3"/>
          <w:numId w:val="23"/>
        </w:numPr>
        <w:spacing w:after="42"/>
        <w:ind w:left="1276"/>
      </w:pPr>
      <w:r>
        <w:t xml:space="preserve">Preventative application of creams </w:t>
      </w:r>
    </w:p>
    <w:p w14:paraId="42104370" w14:textId="77777777" w:rsidR="00097A86" w:rsidRDefault="00097A86" w:rsidP="00097A86">
      <w:pPr>
        <w:pStyle w:val="Default"/>
        <w:numPr>
          <w:ilvl w:val="3"/>
          <w:numId w:val="23"/>
        </w:numPr>
        <w:ind w:left="1276"/>
        <w:rPr>
          <w:sz w:val="23"/>
          <w:szCs w:val="23"/>
        </w:rPr>
      </w:pPr>
      <w:r>
        <w:rPr>
          <w:sz w:val="23"/>
          <w:szCs w:val="23"/>
        </w:rPr>
        <w:t xml:space="preserve">Monitoring and dressing any wound (graded 1 to 4) whether or not it is responding to treatment </w:t>
      </w:r>
    </w:p>
    <w:p w14:paraId="04F7EF6A" w14:textId="77777777" w:rsidR="00097A86" w:rsidRDefault="00097A86" w:rsidP="00097A86">
      <w:pPr>
        <w:pStyle w:val="Default"/>
        <w:numPr>
          <w:ilvl w:val="1"/>
          <w:numId w:val="17"/>
        </w:numPr>
        <w:rPr>
          <w:sz w:val="23"/>
          <w:szCs w:val="23"/>
        </w:rPr>
      </w:pPr>
    </w:p>
    <w:p w14:paraId="77574BA1" w14:textId="77777777" w:rsidR="00097A86" w:rsidRDefault="00097A86" w:rsidP="00097A86">
      <w:pPr>
        <w:pStyle w:val="Default"/>
        <w:numPr>
          <w:ilvl w:val="0"/>
          <w:numId w:val="18"/>
        </w:numPr>
        <w:spacing w:after="654"/>
        <w:rPr>
          <w:sz w:val="23"/>
          <w:szCs w:val="23"/>
        </w:rPr>
      </w:pPr>
      <w:r>
        <w:rPr>
          <w:sz w:val="23"/>
          <w:szCs w:val="23"/>
        </w:rPr>
        <w:t xml:space="preserve">Treatment, care and aftercare where breach of skin integrity has occurred, including </w:t>
      </w:r>
    </w:p>
    <w:p w14:paraId="6AFD47DC" w14:textId="77777777" w:rsidR="00097A86" w:rsidRDefault="00097A86" w:rsidP="00097A86">
      <w:pPr>
        <w:pStyle w:val="Default"/>
        <w:numPr>
          <w:ilvl w:val="0"/>
          <w:numId w:val="18"/>
        </w:numPr>
        <w:ind w:left="1276" w:hanging="360"/>
        <w:rPr>
          <w:sz w:val="23"/>
          <w:szCs w:val="23"/>
        </w:rPr>
      </w:pPr>
      <w:r>
        <w:rPr>
          <w:sz w:val="23"/>
          <w:szCs w:val="23"/>
        </w:rPr>
        <w:lastRenderedPageBreak/>
        <w:t xml:space="preserve">Management of skin conditions </w:t>
      </w:r>
    </w:p>
    <w:p w14:paraId="7CD2D263" w14:textId="77777777" w:rsidR="00097A86" w:rsidRDefault="00097A86" w:rsidP="00097A86">
      <w:pPr>
        <w:pStyle w:val="Default"/>
        <w:rPr>
          <w:b/>
          <w:bCs/>
          <w:sz w:val="23"/>
          <w:szCs w:val="23"/>
        </w:rPr>
      </w:pPr>
    </w:p>
    <w:p w14:paraId="11BAC42D" w14:textId="0A626BEB" w:rsidR="00097A86" w:rsidRDefault="00097A86" w:rsidP="00097A86">
      <w:pPr>
        <w:pStyle w:val="Default"/>
        <w:rPr>
          <w:sz w:val="23"/>
          <w:szCs w:val="23"/>
        </w:rPr>
      </w:pPr>
      <w:r>
        <w:rPr>
          <w:b/>
          <w:bCs/>
          <w:sz w:val="23"/>
          <w:szCs w:val="23"/>
        </w:rPr>
        <w:t xml:space="preserve">Health professionals </w:t>
      </w:r>
    </w:p>
    <w:p w14:paraId="4504B290" w14:textId="77777777" w:rsidR="00097A86" w:rsidRDefault="00097A86" w:rsidP="00097A86">
      <w:pPr>
        <w:pStyle w:val="Default"/>
        <w:numPr>
          <w:ilvl w:val="0"/>
          <w:numId w:val="19"/>
        </w:numPr>
        <w:spacing w:after="57"/>
        <w:rPr>
          <w:sz w:val="23"/>
          <w:szCs w:val="23"/>
        </w:rPr>
      </w:pPr>
      <w:r>
        <w:rPr>
          <w:sz w:val="23"/>
          <w:szCs w:val="23"/>
        </w:rPr>
        <w:t xml:space="preserve">Tissue viability nurse </w:t>
      </w:r>
    </w:p>
    <w:p w14:paraId="60430B56" w14:textId="77777777" w:rsidR="00097A86" w:rsidRDefault="00097A86" w:rsidP="00097A86">
      <w:pPr>
        <w:pStyle w:val="Default"/>
        <w:numPr>
          <w:ilvl w:val="0"/>
          <w:numId w:val="19"/>
        </w:numPr>
        <w:spacing w:after="57"/>
        <w:rPr>
          <w:sz w:val="23"/>
          <w:szCs w:val="23"/>
        </w:rPr>
      </w:pPr>
      <w:r>
        <w:rPr>
          <w:sz w:val="23"/>
          <w:szCs w:val="23"/>
        </w:rPr>
        <w:t xml:space="preserve">GP/district nurse </w:t>
      </w:r>
    </w:p>
    <w:p w14:paraId="0716D7F5" w14:textId="77777777" w:rsidR="00097A86" w:rsidRDefault="00097A86" w:rsidP="00097A86">
      <w:pPr>
        <w:pStyle w:val="Default"/>
        <w:numPr>
          <w:ilvl w:val="0"/>
          <w:numId w:val="19"/>
        </w:numPr>
        <w:rPr>
          <w:sz w:val="23"/>
          <w:szCs w:val="23"/>
        </w:rPr>
      </w:pPr>
      <w:r>
        <w:rPr>
          <w:sz w:val="23"/>
          <w:szCs w:val="23"/>
        </w:rPr>
        <w:t xml:space="preserve">Hospital </w:t>
      </w:r>
    </w:p>
    <w:p w14:paraId="12679332" w14:textId="77777777" w:rsidR="00097A86" w:rsidRDefault="00097A86" w:rsidP="00097A86">
      <w:pPr>
        <w:pStyle w:val="Default"/>
        <w:rPr>
          <w:sz w:val="23"/>
          <w:szCs w:val="23"/>
        </w:rPr>
      </w:pPr>
    </w:p>
    <w:p w14:paraId="2A8699B1" w14:textId="77777777" w:rsidR="00097A86" w:rsidRDefault="00097A86" w:rsidP="00097A86">
      <w:pPr>
        <w:pStyle w:val="Default"/>
        <w:rPr>
          <w:sz w:val="23"/>
          <w:szCs w:val="23"/>
        </w:rPr>
      </w:pPr>
      <w:r>
        <w:rPr>
          <w:b/>
          <w:bCs/>
          <w:sz w:val="23"/>
          <w:szCs w:val="23"/>
        </w:rPr>
        <w:t xml:space="preserve">Risk assessment tools </w:t>
      </w:r>
    </w:p>
    <w:p w14:paraId="08C2DB71" w14:textId="77777777" w:rsidR="00097A86" w:rsidRDefault="00097A86" w:rsidP="00097A86">
      <w:pPr>
        <w:pStyle w:val="Default"/>
        <w:numPr>
          <w:ilvl w:val="0"/>
          <w:numId w:val="20"/>
        </w:numPr>
        <w:rPr>
          <w:sz w:val="23"/>
          <w:szCs w:val="23"/>
        </w:rPr>
      </w:pPr>
      <w:proofErr w:type="spellStart"/>
      <w:r>
        <w:rPr>
          <w:sz w:val="23"/>
          <w:szCs w:val="23"/>
        </w:rPr>
        <w:t>Waterlow</w:t>
      </w:r>
      <w:proofErr w:type="spellEnd"/>
      <w:r>
        <w:rPr>
          <w:sz w:val="23"/>
          <w:szCs w:val="23"/>
        </w:rPr>
        <w:t xml:space="preserve"> Tool (assessment/prevention/treatment) </w:t>
      </w:r>
    </w:p>
    <w:p w14:paraId="2433F5FD" w14:textId="77777777" w:rsidR="00097A86" w:rsidRDefault="00097A86" w:rsidP="00097A86">
      <w:pPr>
        <w:pStyle w:val="Default"/>
      </w:pPr>
    </w:p>
    <w:p w14:paraId="7870C2DF" w14:textId="77777777" w:rsidR="00097A86" w:rsidRPr="00097A86" w:rsidRDefault="00097A86" w:rsidP="00097A86">
      <w:pPr>
        <w:pStyle w:val="Default"/>
        <w:numPr>
          <w:ilvl w:val="0"/>
          <w:numId w:val="24"/>
        </w:numPr>
        <w:rPr>
          <w:i/>
          <w:iCs/>
          <w:sz w:val="23"/>
          <w:szCs w:val="23"/>
        </w:rPr>
      </w:pPr>
      <w:r w:rsidRPr="00097A86">
        <w:rPr>
          <w:b/>
          <w:bCs/>
          <w:i/>
          <w:iCs/>
          <w:sz w:val="23"/>
          <w:szCs w:val="23"/>
        </w:rPr>
        <w:t xml:space="preserve">MANAGING TOILET NEEDS </w:t>
      </w:r>
    </w:p>
    <w:p w14:paraId="18F0EEA8" w14:textId="77777777" w:rsidR="00097A86" w:rsidRDefault="00097A86" w:rsidP="00097A86">
      <w:pPr>
        <w:pStyle w:val="Default"/>
        <w:rPr>
          <w:sz w:val="23"/>
          <w:szCs w:val="23"/>
        </w:rPr>
      </w:pPr>
      <w:r>
        <w:rPr>
          <w:sz w:val="23"/>
          <w:szCs w:val="23"/>
        </w:rPr>
        <w:t xml:space="preserve">This is about the adult’s ability to access and use the toilet (a receptacle for the hygienic disposal of human waste) </w:t>
      </w:r>
    </w:p>
    <w:p w14:paraId="6E00706E" w14:textId="77777777" w:rsidR="00097A86" w:rsidRDefault="00097A86" w:rsidP="00097A86">
      <w:pPr>
        <w:pStyle w:val="Default"/>
        <w:rPr>
          <w:sz w:val="23"/>
          <w:szCs w:val="23"/>
        </w:rPr>
      </w:pPr>
      <w:r>
        <w:rPr>
          <w:b/>
          <w:bCs/>
          <w:i/>
          <w:iCs/>
          <w:sz w:val="23"/>
          <w:szCs w:val="23"/>
        </w:rPr>
        <w:t xml:space="preserve">Elevated risks giving rise to health needs include: </w:t>
      </w:r>
    </w:p>
    <w:p w14:paraId="21E61E27" w14:textId="77777777" w:rsidR="00097A86" w:rsidRDefault="00097A86" w:rsidP="00097A86">
      <w:pPr>
        <w:pStyle w:val="Default"/>
        <w:numPr>
          <w:ilvl w:val="0"/>
          <w:numId w:val="25"/>
        </w:numPr>
        <w:spacing w:after="57"/>
        <w:rPr>
          <w:sz w:val="23"/>
          <w:szCs w:val="23"/>
        </w:rPr>
      </w:pPr>
      <w:r>
        <w:rPr>
          <w:sz w:val="23"/>
          <w:szCs w:val="23"/>
        </w:rPr>
        <w:t xml:space="preserve">Management of clinical incontinence </w:t>
      </w:r>
    </w:p>
    <w:p w14:paraId="141F911E" w14:textId="77777777" w:rsidR="00097A86" w:rsidRDefault="00097A86" w:rsidP="00097A86">
      <w:pPr>
        <w:pStyle w:val="Default"/>
        <w:numPr>
          <w:ilvl w:val="0"/>
          <w:numId w:val="25"/>
        </w:numPr>
        <w:spacing w:after="57"/>
        <w:rPr>
          <w:sz w:val="23"/>
          <w:szCs w:val="23"/>
        </w:rPr>
      </w:pPr>
      <w:r>
        <w:rPr>
          <w:sz w:val="23"/>
          <w:szCs w:val="23"/>
        </w:rPr>
        <w:t xml:space="preserve">Clinical interventions </w:t>
      </w:r>
    </w:p>
    <w:p w14:paraId="1A0EE24D" w14:textId="77777777" w:rsidR="00097A86" w:rsidRDefault="00097A86" w:rsidP="00097A86">
      <w:pPr>
        <w:pStyle w:val="Default"/>
        <w:numPr>
          <w:ilvl w:val="0"/>
          <w:numId w:val="25"/>
        </w:numPr>
        <w:spacing w:after="57"/>
        <w:rPr>
          <w:sz w:val="23"/>
          <w:szCs w:val="23"/>
        </w:rPr>
      </w:pPr>
      <w:r>
        <w:rPr>
          <w:sz w:val="23"/>
          <w:szCs w:val="23"/>
        </w:rPr>
        <w:t xml:space="preserve">Ongoing management of clinical disposal of waste following clinical intervention (for example, stoma, catheter) </w:t>
      </w:r>
    </w:p>
    <w:p w14:paraId="480C5281" w14:textId="77777777" w:rsidR="00097A86" w:rsidRDefault="00097A86" w:rsidP="00097A86">
      <w:pPr>
        <w:pStyle w:val="Default"/>
        <w:numPr>
          <w:ilvl w:val="0"/>
          <w:numId w:val="25"/>
        </w:numPr>
        <w:spacing w:after="57"/>
        <w:rPr>
          <w:sz w:val="23"/>
          <w:szCs w:val="23"/>
        </w:rPr>
      </w:pPr>
      <w:r>
        <w:rPr>
          <w:sz w:val="23"/>
          <w:szCs w:val="23"/>
        </w:rPr>
        <w:t xml:space="preserve">The management of associated elevated risks (e.g. to skin integrity) </w:t>
      </w:r>
    </w:p>
    <w:p w14:paraId="1BC5F0FD" w14:textId="77777777" w:rsidR="00097A86" w:rsidRDefault="00097A86" w:rsidP="00097A86">
      <w:pPr>
        <w:pStyle w:val="Default"/>
        <w:numPr>
          <w:ilvl w:val="0"/>
          <w:numId w:val="25"/>
        </w:numPr>
        <w:spacing w:after="57"/>
        <w:rPr>
          <w:sz w:val="23"/>
          <w:szCs w:val="23"/>
        </w:rPr>
      </w:pPr>
      <w:r>
        <w:rPr>
          <w:sz w:val="23"/>
          <w:szCs w:val="23"/>
        </w:rPr>
        <w:t xml:space="preserve">Use of medication </w:t>
      </w:r>
    </w:p>
    <w:p w14:paraId="13BAD063" w14:textId="77777777" w:rsidR="00097A86" w:rsidRDefault="00097A86" w:rsidP="00097A86">
      <w:pPr>
        <w:pStyle w:val="Default"/>
        <w:numPr>
          <w:ilvl w:val="0"/>
          <w:numId w:val="25"/>
        </w:numPr>
        <w:spacing w:after="57"/>
        <w:rPr>
          <w:sz w:val="23"/>
          <w:szCs w:val="23"/>
        </w:rPr>
      </w:pPr>
      <w:r>
        <w:rPr>
          <w:sz w:val="23"/>
          <w:szCs w:val="23"/>
        </w:rPr>
        <w:t xml:space="preserve">Monitoring output, for example to manage the risks of constipation </w:t>
      </w:r>
    </w:p>
    <w:p w14:paraId="00D91B78" w14:textId="77777777" w:rsidR="00097A86" w:rsidRDefault="00097A86" w:rsidP="00097A86">
      <w:pPr>
        <w:pStyle w:val="Default"/>
        <w:numPr>
          <w:ilvl w:val="0"/>
          <w:numId w:val="25"/>
        </w:numPr>
        <w:spacing w:after="57"/>
        <w:rPr>
          <w:sz w:val="23"/>
          <w:szCs w:val="23"/>
        </w:rPr>
      </w:pPr>
      <w:r>
        <w:rPr>
          <w:sz w:val="23"/>
          <w:szCs w:val="23"/>
        </w:rPr>
        <w:t xml:space="preserve">Management and prevention of UTIs </w:t>
      </w:r>
    </w:p>
    <w:p w14:paraId="23FF723C" w14:textId="77777777" w:rsidR="00097A86" w:rsidRDefault="00097A86" w:rsidP="00097A86">
      <w:pPr>
        <w:pStyle w:val="Default"/>
        <w:numPr>
          <w:ilvl w:val="0"/>
          <w:numId w:val="25"/>
        </w:numPr>
        <w:spacing w:after="57"/>
        <w:rPr>
          <w:sz w:val="23"/>
          <w:szCs w:val="23"/>
        </w:rPr>
      </w:pPr>
      <w:r>
        <w:rPr>
          <w:sz w:val="23"/>
          <w:szCs w:val="23"/>
        </w:rPr>
        <w:t xml:space="preserve">Bladder washouts </w:t>
      </w:r>
    </w:p>
    <w:p w14:paraId="19CE1EA6" w14:textId="77777777" w:rsidR="00097A86" w:rsidRDefault="00097A86" w:rsidP="00097A86">
      <w:pPr>
        <w:pStyle w:val="Default"/>
        <w:numPr>
          <w:ilvl w:val="0"/>
          <w:numId w:val="25"/>
        </w:numPr>
        <w:spacing w:after="57"/>
        <w:rPr>
          <w:sz w:val="23"/>
          <w:szCs w:val="23"/>
        </w:rPr>
      </w:pPr>
      <w:r>
        <w:rPr>
          <w:sz w:val="23"/>
          <w:szCs w:val="23"/>
        </w:rPr>
        <w:t xml:space="preserve">Irrigation </w:t>
      </w:r>
    </w:p>
    <w:p w14:paraId="137A83C9" w14:textId="77777777" w:rsidR="00097A86" w:rsidRDefault="00097A86" w:rsidP="00097A86">
      <w:pPr>
        <w:pStyle w:val="Default"/>
        <w:numPr>
          <w:ilvl w:val="0"/>
          <w:numId w:val="25"/>
        </w:numPr>
        <w:spacing w:after="57"/>
        <w:rPr>
          <w:sz w:val="23"/>
          <w:szCs w:val="23"/>
        </w:rPr>
      </w:pPr>
      <w:r>
        <w:rPr>
          <w:sz w:val="23"/>
          <w:szCs w:val="23"/>
        </w:rPr>
        <w:t xml:space="preserve">Manual evacuation </w:t>
      </w:r>
    </w:p>
    <w:p w14:paraId="5E1E7E10" w14:textId="77777777" w:rsidR="00097A86" w:rsidRDefault="00097A86" w:rsidP="00097A86">
      <w:pPr>
        <w:pStyle w:val="Default"/>
        <w:numPr>
          <w:ilvl w:val="0"/>
          <w:numId w:val="25"/>
        </w:numPr>
        <w:rPr>
          <w:sz w:val="23"/>
          <w:szCs w:val="23"/>
        </w:rPr>
      </w:pPr>
      <w:r>
        <w:rPr>
          <w:sz w:val="23"/>
          <w:szCs w:val="23"/>
        </w:rPr>
        <w:t xml:space="preserve">Management of constipation and other bowel problems </w:t>
      </w:r>
    </w:p>
    <w:p w14:paraId="52D70B4F" w14:textId="77777777" w:rsidR="00097A86" w:rsidRDefault="00097A86" w:rsidP="00097A86">
      <w:pPr>
        <w:pStyle w:val="Default"/>
        <w:rPr>
          <w:sz w:val="23"/>
          <w:szCs w:val="23"/>
        </w:rPr>
      </w:pPr>
    </w:p>
    <w:p w14:paraId="1ED9AF9E" w14:textId="77777777" w:rsidR="00097A86" w:rsidRDefault="00097A86" w:rsidP="00097A86">
      <w:pPr>
        <w:pStyle w:val="Default"/>
        <w:rPr>
          <w:sz w:val="23"/>
          <w:szCs w:val="23"/>
        </w:rPr>
      </w:pPr>
      <w:r>
        <w:rPr>
          <w:b/>
          <w:bCs/>
          <w:sz w:val="23"/>
          <w:szCs w:val="23"/>
        </w:rPr>
        <w:t xml:space="preserve">Health professionals </w:t>
      </w:r>
    </w:p>
    <w:p w14:paraId="2032F2AD" w14:textId="77777777" w:rsidR="00097A86" w:rsidRDefault="00097A86" w:rsidP="00097A86">
      <w:pPr>
        <w:pStyle w:val="Default"/>
        <w:numPr>
          <w:ilvl w:val="0"/>
          <w:numId w:val="26"/>
        </w:numPr>
        <w:spacing w:after="57"/>
        <w:rPr>
          <w:sz w:val="23"/>
          <w:szCs w:val="23"/>
        </w:rPr>
      </w:pPr>
      <w:r>
        <w:rPr>
          <w:sz w:val="23"/>
          <w:szCs w:val="23"/>
        </w:rPr>
        <w:t xml:space="preserve">Continence nurse </w:t>
      </w:r>
    </w:p>
    <w:p w14:paraId="5D94AC1D" w14:textId="77777777" w:rsidR="00097A86" w:rsidRDefault="00097A86" w:rsidP="00097A86">
      <w:pPr>
        <w:pStyle w:val="Default"/>
        <w:numPr>
          <w:ilvl w:val="0"/>
          <w:numId w:val="26"/>
        </w:numPr>
        <w:spacing w:after="57"/>
        <w:rPr>
          <w:sz w:val="23"/>
          <w:szCs w:val="23"/>
        </w:rPr>
      </w:pPr>
      <w:r>
        <w:rPr>
          <w:sz w:val="23"/>
          <w:szCs w:val="23"/>
        </w:rPr>
        <w:t xml:space="preserve">GP/district nurse </w:t>
      </w:r>
    </w:p>
    <w:p w14:paraId="2B9BC980" w14:textId="77777777" w:rsidR="00097A86" w:rsidRDefault="00097A86" w:rsidP="00097A86">
      <w:pPr>
        <w:pStyle w:val="Default"/>
        <w:numPr>
          <w:ilvl w:val="0"/>
          <w:numId w:val="26"/>
        </w:numPr>
        <w:spacing w:after="57"/>
        <w:rPr>
          <w:sz w:val="23"/>
          <w:szCs w:val="23"/>
        </w:rPr>
      </w:pPr>
      <w:r>
        <w:rPr>
          <w:sz w:val="23"/>
          <w:szCs w:val="23"/>
        </w:rPr>
        <w:t xml:space="preserve">LD Nurse </w:t>
      </w:r>
    </w:p>
    <w:p w14:paraId="128DFBBC" w14:textId="77777777" w:rsidR="00097A86" w:rsidRDefault="00097A86" w:rsidP="00097A86">
      <w:pPr>
        <w:pStyle w:val="Default"/>
        <w:numPr>
          <w:ilvl w:val="0"/>
          <w:numId w:val="26"/>
        </w:numPr>
        <w:rPr>
          <w:sz w:val="23"/>
          <w:szCs w:val="23"/>
        </w:rPr>
      </w:pPr>
      <w:r>
        <w:rPr>
          <w:sz w:val="23"/>
          <w:szCs w:val="23"/>
        </w:rPr>
        <w:t xml:space="preserve">Hospital </w:t>
      </w:r>
    </w:p>
    <w:p w14:paraId="6BFF12AB" w14:textId="77777777" w:rsidR="00097A86" w:rsidRDefault="00097A86" w:rsidP="00097A86">
      <w:pPr>
        <w:pStyle w:val="Default"/>
        <w:rPr>
          <w:sz w:val="23"/>
          <w:szCs w:val="23"/>
        </w:rPr>
      </w:pPr>
    </w:p>
    <w:p w14:paraId="337C0CE1" w14:textId="77777777" w:rsidR="00097A86" w:rsidRDefault="00097A86" w:rsidP="00097A86">
      <w:pPr>
        <w:pStyle w:val="Default"/>
        <w:rPr>
          <w:sz w:val="23"/>
          <w:szCs w:val="23"/>
        </w:rPr>
      </w:pPr>
      <w:r>
        <w:rPr>
          <w:b/>
          <w:bCs/>
          <w:sz w:val="23"/>
          <w:szCs w:val="23"/>
        </w:rPr>
        <w:t xml:space="preserve">Risk assessment tools </w:t>
      </w:r>
    </w:p>
    <w:p w14:paraId="3906D6CD" w14:textId="77777777" w:rsidR="00097A86" w:rsidRDefault="00097A86" w:rsidP="00097A86">
      <w:pPr>
        <w:pStyle w:val="Default"/>
        <w:numPr>
          <w:ilvl w:val="0"/>
          <w:numId w:val="27"/>
        </w:numPr>
        <w:rPr>
          <w:sz w:val="23"/>
          <w:szCs w:val="23"/>
        </w:rPr>
      </w:pPr>
      <w:r>
        <w:rPr>
          <w:sz w:val="23"/>
          <w:szCs w:val="23"/>
        </w:rPr>
        <w:t xml:space="preserve">Bristol stool chart </w:t>
      </w:r>
    </w:p>
    <w:p w14:paraId="2E6404FF" w14:textId="77777777" w:rsidR="00097A86" w:rsidRDefault="00097A86" w:rsidP="00097A86">
      <w:pPr>
        <w:pStyle w:val="Default"/>
      </w:pPr>
    </w:p>
    <w:p w14:paraId="4E20817A" w14:textId="77777777" w:rsidR="00097A86" w:rsidRPr="00097A86" w:rsidRDefault="00097A86" w:rsidP="00097A86">
      <w:pPr>
        <w:pStyle w:val="Default"/>
        <w:numPr>
          <w:ilvl w:val="0"/>
          <w:numId w:val="28"/>
        </w:numPr>
        <w:rPr>
          <w:b/>
          <w:bCs/>
          <w:i/>
          <w:iCs/>
        </w:rPr>
      </w:pPr>
      <w:r w:rsidRPr="00097A86">
        <w:rPr>
          <w:b/>
          <w:bCs/>
          <w:i/>
          <w:iCs/>
        </w:rPr>
        <w:t xml:space="preserve">BEING APPROPRIATELY CLOTHED </w:t>
      </w:r>
    </w:p>
    <w:p w14:paraId="5014132A" w14:textId="77777777" w:rsidR="00097A86" w:rsidRDefault="00097A86" w:rsidP="00097A86">
      <w:pPr>
        <w:pStyle w:val="Default"/>
        <w:rPr>
          <w:sz w:val="23"/>
          <w:szCs w:val="23"/>
        </w:rPr>
      </w:pPr>
      <w:r>
        <w:rPr>
          <w:sz w:val="23"/>
          <w:szCs w:val="23"/>
        </w:rPr>
        <w:t>This is about the adult’s ability to dress themselves appropriately (</w:t>
      </w:r>
      <w:proofErr w:type="spellStart"/>
      <w:r>
        <w:rPr>
          <w:sz w:val="23"/>
          <w:szCs w:val="23"/>
        </w:rPr>
        <w:t>eg.</w:t>
      </w:r>
      <w:proofErr w:type="spellEnd"/>
      <w:r>
        <w:rPr>
          <w:sz w:val="23"/>
          <w:szCs w:val="23"/>
        </w:rPr>
        <w:t xml:space="preserve"> weather) </w:t>
      </w:r>
    </w:p>
    <w:p w14:paraId="2D30170A" w14:textId="77777777" w:rsidR="00097A86" w:rsidRDefault="00097A86" w:rsidP="00097A86">
      <w:pPr>
        <w:pStyle w:val="Default"/>
        <w:rPr>
          <w:sz w:val="23"/>
          <w:szCs w:val="23"/>
        </w:rPr>
      </w:pPr>
      <w:r>
        <w:rPr>
          <w:b/>
          <w:bCs/>
          <w:i/>
          <w:iCs/>
          <w:sz w:val="23"/>
          <w:szCs w:val="23"/>
        </w:rPr>
        <w:t xml:space="preserve">Elevated risks giving rise to health needs include: </w:t>
      </w:r>
    </w:p>
    <w:p w14:paraId="28F099E0" w14:textId="77777777" w:rsidR="00097A86" w:rsidRDefault="00097A86" w:rsidP="00097A86">
      <w:pPr>
        <w:pStyle w:val="Default"/>
        <w:numPr>
          <w:ilvl w:val="0"/>
          <w:numId w:val="29"/>
        </w:numPr>
        <w:spacing w:after="59"/>
        <w:rPr>
          <w:sz w:val="23"/>
          <w:szCs w:val="23"/>
        </w:rPr>
      </w:pPr>
      <w:r>
        <w:rPr>
          <w:sz w:val="23"/>
          <w:szCs w:val="23"/>
        </w:rPr>
        <w:t xml:space="preserve">Support required to manage a person’s behaviour if they do not want to be appropriately clothed </w:t>
      </w:r>
    </w:p>
    <w:p w14:paraId="314BE58A" w14:textId="77777777" w:rsidR="00097A86" w:rsidRDefault="00097A86" w:rsidP="00097A86">
      <w:pPr>
        <w:pStyle w:val="Default"/>
        <w:numPr>
          <w:ilvl w:val="0"/>
          <w:numId w:val="29"/>
        </w:numPr>
        <w:rPr>
          <w:sz w:val="23"/>
          <w:szCs w:val="23"/>
        </w:rPr>
      </w:pPr>
      <w:r>
        <w:rPr>
          <w:sz w:val="23"/>
          <w:szCs w:val="23"/>
        </w:rPr>
        <w:t xml:space="preserve">Support required to manage risks related to damage or removal of clothing </w:t>
      </w:r>
    </w:p>
    <w:p w14:paraId="358347A2" w14:textId="77777777" w:rsidR="00097A86" w:rsidRDefault="00097A86" w:rsidP="00097A86">
      <w:pPr>
        <w:pStyle w:val="Default"/>
        <w:rPr>
          <w:sz w:val="23"/>
          <w:szCs w:val="23"/>
        </w:rPr>
      </w:pPr>
    </w:p>
    <w:p w14:paraId="08C711FC" w14:textId="085FD764" w:rsidR="00097A86" w:rsidRPr="00097A86" w:rsidRDefault="00097A86" w:rsidP="00097A86">
      <w:pPr>
        <w:pStyle w:val="Default"/>
        <w:rPr>
          <w:b/>
          <w:bCs/>
          <w:i/>
          <w:iCs/>
          <w:sz w:val="23"/>
          <w:szCs w:val="23"/>
        </w:rPr>
      </w:pPr>
      <w:r w:rsidRPr="00097A86">
        <w:rPr>
          <w:b/>
          <w:bCs/>
          <w:i/>
          <w:iCs/>
          <w:sz w:val="23"/>
          <w:szCs w:val="23"/>
        </w:rPr>
        <w:t xml:space="preserve">BEING ABLE TO MAKE USE OF THE HOME SAFELY </w:t>
      </w:r>
    </w:p>
    <w:p w14:paraId="5809AC7D" w14:textId="77777777" w:rsidR="00097A86" w:rsidRDefault="00097A86" w:rsidP="00097A86">
      <w:pPr>
        <w:pStyle w:val="Default"/>
        <w:rPr>
          <w:sz w:val="23"/>
          <w:szCs w:val="23"/>
        </w:rPr>
      </w:pPr>
    </w:p>
    <w:p w14:paraId="062B1D3E" w14:textId="77777777" w:rsidR="00097A86" w:rsidRDefault="00097A86" w:rsidP="00097A86">
      <w:pPr>
        <w:pStyle w:val="Default"/>
        <w:rPr>
          <w:sz w:val="23"/>
          <w:szCs w:val="23"/>
        </w:rPr>
      </w:pPr>
      <w:r>
        <w:rPr>
          <w:sz w:val="23"/>
          <w:szCs w:val="23"/>
        </w:rPr>
        <w:t xml:space="preserve">This is about the adult’s ability to move around the home safely. </w:t>
      </w:r>
    </w:p>
    <w:p w14:paraId="3F0D813B" w14:textId="77777777" w:rsidR="00097A86" w:rsidRDefault="00097A86" w:rsidP="00097A86">
      <w:pPr>
        <w:pStyle w:val="Default"/>
        <w:rPr>
          <w:sz w:val="23"/>
          <w:szCs w:val="23"/>
        </w:rPr>
      </w:pPr>
      <w:r>
        <w:rPr>
          <w:b/>
          <w:bCs/>
          <w:i/>
          <w:iCs/>
          <w:sz w:val="23"/>
          <w:szCs w:val="23"/>
        </w:rPr>
        <w:t xml:space="preserve">Elevated risks giving rise to health needs include: </w:t>
      </w:r>
    </w:p>
    <w:p w14:paraId="042386A2" w14:textId="77777777" w:rsidR="00097A86" w:rsidRDefault="00097A86" w:rsidP="00097A86">
      <w:pPr>
        <w:pStyle w:val="Default"/>
        <w:numPr>
          <w:ilvl w:val="0"/>
          <w:numId w:val="31"/>
        </w:numPr>
        <w:spacing w:after="57"/>
        <w:rPr>
          <w:sz w:val="23"/>
          <w:szCs w:val="23"/>
        </w:rPr>
      </w:pPr>
      <w:r>
        <w:rPr>
          <w:sz w:val="23"/>
          <w:szCs w:val="23"/>
        </w:rPr>
        <w:lastRenderedPageBreak/>
        <w:t xml:space="preserve">Falls risk prevention (where support required to manage risk of injury) </w:t>
      </w:r>
    </w:p>
    <w:p w14:paraId="61F0B24B" w14:textId="77777777" w:rsidR="00097A86" w:rsidRDefault="00097A86" w:rsidP="00097A86">
      <w:pPr>
        <w:pStyle w:val="Default"/>
        <w:numPr>
          <w:ilvl w:val="1"/>
          <w:numId w:val="34"/>
        </w:numPr>
        <w:spacing w:after="44"/>
        <w:ind w:left="1134"/>
        <w:rPr>
          <w:sz w:val="23"/>
          <w:szCs w:val="23"/>
        </w:rPr>
      </w:pPr>
      <w:r>
        <w:rPr>
          <w:sz w:val="23"/>
          <w:szCs w:val="23"/>
        </w:rPr>
        <w:t xml:space="preserve">Risks on </w:t>
      </w:r>
      <w:proofErr w:type="gramStart"/>
      <w:r>
        <w:rPr>
          <w:sz w:val="23"/>
          <w:szCs w:val="23"/>
        </w:rPr>
        <w:t>transfers</w:t>
      </w:r>
      <w:proofErr w:type="gramEnd"/>
      <w:r>
        <w:rPr>
          <w:sz w:val="23"/>
          <w:szCs w:val="23"/>
        </w:rPr>
        <w:t xml:space="preserve"> physical harm </w:t>
      </w:r>
    </w:p>
    <w:p w14:paraId="69F4BEFC" w14:textId="77777777" w:rsidR="00097A86" w:rsidRDefault="00097A86" w:rsidP="00097A86">
      <w:pPr>
        <w:pStyle w:val="Default"/>
        <w:numPr>
          <w:ilvl w:val="1"/>
          <w:numId w:val="34"/>
        </w:numPr>
        <w:spacing w:after="44"/>
        <w:ind w:left="1134"/>
        <w:rPr>
          <w:sz w:val="23"/>
          <w:szCs w:val="23"/>
        </w:rPr>
      </w:pPr>
      <w:r>
        <w:rPr>
          <w:sz w:val="23"/>
          <w:szCs w:val="23"/>
        </w:rPr>
        <w:t xml:space="preserve">loss of muscle tone </w:t>
      </w:r>
    </w:p>
    <w:p w14:paraId="6D4FBE48" w14:textId="77777777" w:rsidR="00097A86" w:rsidRDefault="00097A86" w:rsidP="00097A86">
      <w:pPr>
        <w:pStyle w:val="Default"/>
        <w:numPr>
          <w:ilvl w:val="1"/>
          <w:numId w:val="34"/>
        </w:numPr>
        <w:spacing w:after="44"/>
        <w:ind w:left="1134"/>
        <w:rPr>
          <w:sz w:val="23"/>
          <w:szCs w:val="23"/>
        </w:rPr>
      </w:pPr>
      <w:r>
        <w:rPr>
          <w:sz w:val="23"/>
          <w:szCs w:val="23"/>
        </w:rPr>
        <w:t xml:space="preserve">pain on movement </w:t>
      </w:r>
    </w:p>
    <w:p w14:paraId="2743D036" w14:textId="77777777" w:rsidR="00097A86" w:rsidRDefault="00097A86" w:rsidP="00097A86">
      <w:pPr>
        <w:pStyle w:val="Default"/>
        <w:numPr>
          <w:ilvl w:val="1"/>
          <w:numId w:val="34"/>
        </w:numPr>
        <w:ind w:left="1134"/>
        <w:rPr>
          <w:sz w:val="23"/>
          <w:szCs w:val="23"/>
        </w:rPr>
      </w:pPr>
      <w:r>
        <w:rPr>
          <w:sz w:val="23"/>
          <w:szCs w:val="23"/>
        </w:rPr>
        <w:t xml:space="preserve">spasms or contractures </w:t>
      </w:r>
    </w:p>
    <w:p w14:paraId="6F976B6D" w14:textId="77777777" w:rsidR="00097A86" w:rsidRDefault="00097A86" w:rsidP="00097A86">
      <w:pPr>
        <w:pStyle w:val="Default"/>
        <w:numPr>
          <w:ilvl w:val="1"/>
          <w:numId w:val="31"/>
        </w:numPr>
        <w:rPr>
          <w:sz w:val="23"/>
          <w:szCs w:val="23"/>
        </w:rPr>
      </w:pPr>
    </w:p>
    <w:p w14:paraId="08C9F6E3" w14:textId="77777777" w:rsidR="00097A86" w:rsidRDefault="00097A86" w:rsidP="00097A86">
      <w:pPr>
        <w:pStyle w:val="Default"/>
        <w:rPr>
          <w:sz w:val="23"/>
          <w:szCs w:val="23"/>
        </w:rPr>
      </w:pPr>
      <w:r>
        <w:rPr>
          <w:b/>
          <w:bCs/>
          <w:sz w:val="23"/>
          <w:szCs w:val="23"/>
        </w:rPr>
        <w:t xml:space="preserve">Health professionals </w:t>
      </w:r>
    </w:p>
    <w:p w14:paraId="47110F46" w14:textId="77777777" w:rsidR="00097A86" w:rsidRDefault="00097A86" w:rsidP="00097A86">
      <w:pPr>
        <w:pStyle w:val="Default"/>
        <w:numPr>
          <w:ilvl w:val="0"/>
          <w:numId w:val="32"/>
        </w:numPr>
        <w:spacing w:after="57"/>
        <w:rPr>
          <w:sz w:val="23"/>
          <w:szCs w:val="23"/>
        </w:rPr>
      </w:pPr>
      <w:r>
        <w:rPr>
          <w:sz w:val="23"/>
          <w:szCs w:val="23"/>
        </w:rPr>
        <w:t xml:space="preserve">Occupational Therapy </w:t>
      </w:r>
    </w:p>
    <w:p w14:paraId="7483BBBB" w14:textId="77777777" w:rsidR="00097A86" w:rsidRDefault="00097A86" w:rsidP="00097A86">
      <w:pPr>
        <w:pStyle w:val="Default"/>
        <w:numPr>
          <w:ilvl w:val="0"/>
          <w:numId w:val="32"/>
        </w:numPr>
        <w:spacing w:after="57"/>
        <w:rPr>
          <w:sz w:val="23"/>
          <w:szCs w:val="23"/>
        </w:rPr>
      </w:pPr>
      <w:r>
        <w:rPr>
          <w:sz w:val="23"/>
          <w:szCs w:val="23"/>
        </w:rPr>
        <w:t xml:space="preserve">Physiotherapy </w:t>
      </w:r>
    </w:p>
    <w:p w14:paraId="7CC5E3D3" w14:textId="77777777" w:rsidR="00097A86" w:rsidRDefault="00097A86" w:rsidP="00097A86">
      <w:pPr>
        <w:pStyle w:val="Default"/>
        <w:numPr>
          <w:ilvl w:val="0"/>
          <w:numId w:val="32"/>
        </w:numPr>
        <w:spacing w:after="57"/>
        <w:rPr>
          <w:sz w:val="23"/>
          <w:szCs w:val="23"/>
        </w:rPr>
      </w:pPr>
      <w:r>
        <w:rPr>
          <w:sz w:val="23"/>
          <w:szCs w:val="23"/>
        </w:rPr>
        <w:t xml:space="preserve">GP/district nurse </w:t>
      </w:r>
    </w:p>
    <w:p w14:paraId="4EC20F43" w14:textId="77777777" w:rsidR="00097A86" w:rsidRDefault="00097A86" w:rsidP="00097A86">
      <w:pPr>
        <w:pStyle w:val="Default"/>
        <w:numPr>
          <w:ilvl w:val="0"/>
          <w:numId w:val="32"/>
        </w:numPr>
        <w:rPr>
          <w:sz w:val="23"/>
          <w:szCs w:val="23"/>
        </w:rPr>
      </w:pPr>
      <w:r>
        <w:rPr>
          <w:sz w:val="23"/>
          <w:szCs w:val="23"/>
        </w:rPr>
        <w:t xml:space="preserve">Hospital </w:t>
      </w:r>
    </w:p>
    <w:p w14:paraId="05D04FB1" w14:textId="77777777" w:rsidR="00097A86" w:rsidRDefault="00097A86" w:rsidP="00097A86">
      <w:pPr>
        <w:pStyle w:val="Default"/>
        <w:rPr>
          <w:sz w:val="23"/>
          <w:szCs w:val="23"/>
        </w:rPr>
      </w:pPr>
    </w:p>
    <w:p w14:paraId="238DDE51" w14:textId="77777777" w:rsidR="00097A86" w:rsidRDefault="00097A86" w:rsidP="00097A86">
      <w:pPr>
        <w:pStyle w:val="Default"/>
        <w:rPr>
          <w:sz w:val="23"/>
          <w:szCs w:val="23"/>
        </w:rPr>
      </w:pPr>
      <w:r>
        <w:rPr>
          <w:b/>
          <w:bCs/>
          <w:sz w:val="23"/>
          <w:szCs w:val="23"/>
        </w:rPr>
        <w:t xml:space="preserve">Risk assessment tools </w:t>
      </w:r>
    </w:p>
    <w:p w14:paraId="149698ED" w14:textId="77777777" w:rsidR="00097A86" w:rsidRDefault="00097A86" w:rsidP="00097A86">
      <w:pPr>
        <w:pStyle w:val="Default"/>
        <w:numPr>
          <w:ilvl w:val="0"/>
          <w:numId w:val="33"/>
        </w:numPr>
        <w:rPr>
          <w:sz w:val="23"/>
          <w:szCs w:val="23"/>
        </w:rPr>
      </w:pPr>
      <w:r>
        <w:rPr>
          <w:sz w:val="23"/>
          <w:szCs w:val="23"/>
        </w:rPr>
        <w:t xml:space="preserve">Falls Risk Assessment Tools (FRAT) </w:t>
      </w:r>
    </w:p>
    <w:p w14:paraId="754802D5" w14:textId="77777777" w:rsidR="00097A86" w:rsidRDefault="00097A86" w:rsidP="004F2FCA">
      <w:pPr>
        <w:jc w:val="both"/>
        <w:rPr>
          <w:rFonts w:ascii="Arial" w:hAnsi="Arial" w:cs="Arial"/>
        </w:rPr>
      </w:pPr>
    </w:p>
    <w:p w14:paraId="5CDB5447" w14:textId="77777777" w:rsidR="00097A86" w:rsidRPr="00097A86" w:rsidRDefault="00097A86" w:rsidP="00097A86">
      <w:pPr>
        <w:pStyle w:val="Default"/>
        <w:numPr>
          <w:ilvl w:val="0"/>
          <w:numId w:val="35"/>
        </w:numPr>
        <w:rPr>
          <w:b/>
          <w:bCs/>
          <w:i/>
          <w:iCs/>
        </w:rPr>
      </w:pPr>
      <w:r w:rsidRPr="00097A86">
        <w:rPr>
          <w:b/>
          <w:bCs/>
          <w:i/>
          <w:iCs/>
        </w:rPr>
        <w:t xml:space="preserve">MAINTAINING A HABITABLE HOME ENVIRONMENT </w:t>
      </w:r>
    </w:p>
    <w:p w14:paraId="653D109E" w14:textId="77777777" w:rsidR="00097A86" w:rsidRDefault="00097A86" w:rsidP="00097A86">
      <w:pPr>
        <w:pStyle w:val="Default"/>
        <w:rPr>
          <w:sz w:val="23"/>
          <w:szCs w:val="23"/>
        </w:rPr>
      </w:pPr>
      <w:r>
        <w:rPr>
          <w:sz w:val="23"/>
          <w:szCs w:val="23"/>
        </w:rPr>
        <w:t xml:space="preserve">This is about whether the home is clean and maintained with use of essential amenities </w:t>
      </w:r>
    </w:p>
    <w:p w14:paraId="72B35BA8" w14:textId="77777777" w:rsidR="00097A86" w:rsidRDefault="00097A86" w:rsidP="00097A86">
      <w:pPr>
        <w:pStyle w:val="Default"/>
        <w:rPr>
          <w:sz w:val="23"/>
          <w:szCs w:val="23"/>
        </w:rPr>
      </w:pPr>
      <w:r>
        <w:rPr>
          <w:b/>
          <w:bCs/>
          <w:i/>
          <w:iCs/>
          <w:sz w:val="23"/>
          <w:szCs w:val="23"/>
        </w:rPr>
        <w:t xml:space="preserve">Elevated risks giving rise to health needs include: </w:t>
      </w:r>
    </w:p>
    <w:p w14:paraId="65D02933" w14:textId="77777777" w:rsidR="00097A86" w:rsidRDefault="00097A86" w:rsidP="00097A86">
      <w:pPr>
        <w:pStyle w:val="Default"/>
        <w:numPr>
          <w:ilvl w:val="0"/>
          <w:numId w:val="36"/>
        </w:numPr>
        <w:spacing w:after="57"/>
        <w:rPr>
          <w:sz w:val="23"/>
          <w:szCs w:val="23"/>
        </w:rPr>
      </w:pPr>
      <w:r>
        <w:rPr>
          <w:sz w:val="23"/>
          <w:szCs w:val="23"/>
        </w:rPr>
        <w:t xml:space="preserve">Risks of infection </w:t>
      </w:r>
    </w:p>
    <w:p w14:paraId="7DC97C64" w14:textId="77777777" w:rsidR="00097A86" w:rsidRDefault="00097A86" w:rsidP="00097A86">
      <w:pPr>
        <w:pStyle w:val="Default"/>
        <w:numPr>
          <w:ilvl w:val="0"/>
          <w:numId w:val="36"/>
        </w:numPr>
        <w:spacing w:after="57"/>
        <w:rPr>
          <w:sz w:val="23"/>
          <w:szCs w:val="23"/>
        </w:rPr>
      </w:pPr>
      <w:r>
        <w:rPr>
          <w:sz w:val="23"/>
          <w:szCs w:val="23"/>
        </w:rPr>
        <w:t xml:space="preserve">Where additional cleaning required due to illness </w:t>
      </w:r>
    </w:p>
    <w:p w14:paraId="35B5F3A0" w14:textId="77777777" w:rsidR="00097A86" w:rsidRDefault="00097A86" w:rsidP="00097A86">
      <w:pPr>
        <w:pStyle w:val="Default"/>
        <w:numPr>
          <w:ilvl w:val="0"/>
          <w:numId w:val="36"/>
        </w:numPr>
        <w:rPr>
          <w:sz w:val="23"/>
          <w:szCs w:val="23"/>
        </w:rPr>
      </w:pPr>
      <w:r>
        <w:rPr>
          <w:sz w:val="23"/>
          <w:szCs w:val="23"/>
        </w:rPr>
        <w:t xml:space="preserve">Risks related to damage to the home caused by a person’s behaviours of concern </w:t>
      </w:r>
    </w:p>
    <w:p w14:paraId="20501F2A" w14:textId="77777777" w:rsidR="00097A86" w:rsidRDefault="00097A86" w:rsidP="00097A86">
      <w:pPr>
        <w:pStyle w:val="Default"/>
        <w:rPr>
          <w:sz w:val="23"/>
          <w:szCs w:val="23"/>
        </w:rPr>
      </w:pPr>
    </w:p>
    <w:p w14:paraId="3CC84029" w14:textId="77777777" w:rsidR="00097A86" w:rsidRDefault="00097A86" w:rsidP="00097A86">
      <w:pPr>
        <w:pStyle w:val="Default"/>
        <w:rPr>
          <w:sz w:val="23"/>
          <w:szCs w:val="23"/>
        </w:rPr>
      </w:pPr>
      <w:r>
        <w:rPr>
          <w:b/>
          <w:bCs/>
          <w:sz w:val="23"/>
          <w:szCs w:val="23"/>
        </w:rPr>
        <w:t xml:space="preserve">Health professionals </w:t>
      </w:r>
    </w:p>
    <w:p w14:paraId="69523DAF" w14:textId="77777777" w:rsidR="00097A86" w:rsidRDefault="00097A86" w:rsidP="00097A86">
      <w:pPr>
        <w:pStyle w:val="Default"/>
        <w:numPr>
          <w:ilvl w:val="0"/>
          <w:numId w:val="37"/>
        </w:numPr>
        <w:spacing w:after="57"/>
        <w:rPr>
          <w:sz w:val="23"/>
          <w:szCs w:val="23"/>
        </w:rPr>
      </w:pPr>
      <w:r>
        <w:rPr>
          <w:sz w:val="23"/>
          <w:szCs w:val="23"/>
        </w:rPr>
        <w:t xml:space="preserve">GP/district nurse </w:t>
      </w:r>
    </w:p>
    <w:p w14:paraId="131545C8" w14:textId="77777777" w:rsidR="00097A86" w:rsidRDefault="00097A86" w:rsidP="00097A86">
      <w:pPr>
        <w:pStyle w:val="Default"/>
        <w:numPr>
          <w:ilvl w:val="0"/>
          <w:numId w:val="37"/>
        </w:numPr>
        <w:spacing w:after="57"/>
        <w:rPr>
          <w:sz w:val="23"/>
          <w:szCs w:val="23"/>
        </w:rPr>
      </w:pPr>
      <w:r>
        <w:rPr>
          <w:sz w:val="23"/>
          <w:szCs w:val="23"/>
        </w:rPr>
        <w:t xml:space="preserve">Hospital </w:t>
      </w:r>
    </w:p>
    <w:p w14:paraId="3222D004" w14:textId="77777777" w:rsidR="00097A86" w:rsidRDefault="00097A86" w:rsidP="00097A86">
      <w:pPr>
        <w:pStyle w:val="Default"/>
        <w:numPr>
          <w:ilvl w:val="0"/>
          <w:numId w:val="37"/>
        </w:numPr>
        <w:rPr>
          <w:sz w:val="23"/>
          <w:szCs w:val="23"/>
        </w:rPr>
      </w:pPr>
      <w:r>
        <w:rPr>
          <w:sz w:val="23"/>
          <w:szCs w:val="23"/>
        </w:rPr>
        <w:t xml:space="preserve">Clinical Psychologist or </w:t>
      </w:r>
      <w:proofErr w:type="gramStart"/>
      <w:r>
        <w:rPr>
          <w:sz w:val="23"/>
          <w:szCs w:val="23"/>
        </w:rPr>
        <w:t>other</w:t>
      </w:r>
      <w:proofErr w:type="gramEnd"/>
      <w:r>
        <w:rPr>
          <w:sz w:val="23"/>
          <w:szCs w:val="23"/>
        </w:rPr>
        <w:t xml:space="preserve"> specialist clinician </w:t>
      </w:r>
    </w:p>
    <w:p w14:paraId="679C64C9" w14:textId="77777777" w:rsidR="00097A86" w:rsidRDefault="00097A86" w:rsidP="004F2FCA">
      <w:pPr>
        <w:jc w:val="both"/>
        <w:rPr>
          <w:rFonts w:ascii="Arial" w:hAnsi="Arial" w:cs="Arial"/>
        </w:rPr>
      </w:pPr>
    </w:p>
    <w:p w14:paraId="6A08A277" w14:textId="77777777" w:rsidR="00097A86" w:rsidRPr="00097A86" w:rsidRDefault="00097A86" w:rsidP="00097A86">
      <w:pPr>
        <w:pStyle w:val="Default"/>
        <w:rPr>
          <w:i/>
          <w:iCs/>
          <w:sz w:val="23"/>
          <w:szCs w:val="23"/>
        </w:rPr>
      </w:pPr>
      <w:r w:rsidRPr="00097A86">
        <w:rPr>
          <w:b/>
          <w:bCs/>
          <w:i/>
          <w:iCs/>
          <w:sz w:val="23"/>
          <w:szCs w:val="23"/>
        </w:rPr>
        <w:t xml:space="preserve">DEVELOPING AND MAINTAINING FAMILY OR OTHER PERSONAL RELATIONSHIPS </w:t>
      </w:r>
    </w:p>
    <w:p w14:paraId="684DA0AB" w14:textId="77777777" w:rsidR="00097A86" w:rsidRDefault="00097A86" w:rsidP="00097A86">
      <w:pPr>
        <w:pStyle w:val="Default"/>
        <w:rPr>
          <w:sz w:val="23"/>
          <w:szCs w:val="23"/>
        </w:rPr>
      </w:pPr>
      <w:r>
        <w:rPr>
          <w:sz w:val="23"/>
          <w:szCs w:val="23"/>
        </w:rPr>
        <w:t xml:space="preserve">This is about avoiding isolation and loneliness. </w:t>
      </w:r>
    </w:p>
    <w:p w14:paraId="0519C07A" w14:textId="77777777" w:rsidR="00097A86" w:rsidRDefault="00097A86" w:rsidP="00097A86">
      <w:pPr>
        <w:pStyle w:val="Default"/>
        <w:rPr>
          <w:sz w:val="23"/>
          <w:szCs w:val="23"/>
        </w:rPr>
      </w:pPr>
      <w:r>
        <w:rPr>
          <w:b/>
          <w:bCs/>
          <w:i/>
          <w:iCs/>
          <w:sz w:val="23"/>
          <w:szCs w:val="23"/>
        </w:rPr>
        <w:t xml:space="preserve">Elevated risks giving rise to health needs include: </w:t>
      </w:r>
    </w:p>
    <w:p w14:paraId="47F9C191" w14:textId="77777777" w:rsidR="00097A86" w:rsidRDefault="00097A86" w:rsidP="00097A86">
      <w:pPr>
        <w:pStyle w:val="Default"/>
        <w:numPr>
          <w:ilvl w:val="0"/>
          <w:numId w:val="38"/>
        </w:numPr>
        <w:rPr>
          <w:sz w:val="23"/>
          <w:szCs w:val="23"/>
        </w:rPr>
      </w:pPr>
      <w:r>
        <w:rPr>
          <w:sz w:val="23"/>
          <w:szCs w:val="23"/>
        </w:rPr>
        <w:t xml:space="preserve">Management of risks related to a person’s behaviours of concern. </w:t>
      </w:r>
    </w:p>
    <w:p w14:paraId="5383A8D2" w14:textId="77777777" w:rsidR="00097A86" w:rsidRDefault="00097A86" w:rsidP="00097A86">
      <w:pPr>
        <w:pStyle w:val="Default"/>
        <w:rPr>
          <w:sz w:val="23"/>
          <w:szCs w:val="23"/>
        </w:rPr>
      </w:pPr>
    </w:p>
    <w:p w14:paraId="7CF075A0" w14:textId="65E6AF6D" w:rsidR="00097A86" w:rsidRPr="00097A86" w:rsidRDefault="00097A86" w:rsidP="00097A86">
      <w:pPr>
        <w:pStyle w:val="Default"/>
        <w:rPr>
          <w:i/>
          <w:iCs/>
          <w:sz w:val="23"/>
          <w:szCs w:val="23"/>
        </w:rPr>
      </w:pPr>
      <w:r w:rsidRPr="00097A86">
        <w:rPr>
          <w:b/>
          <w:bCs/>
          <w:i/>
          <w:iCs/>
          <w:sz w:val="23"/>
          <w:szCs w:val="23"/>
        </w:rPr>
        <w:t xml:space="preserve">ACCESSING AND ENGAGING IN WORK, TRAINING, EDUCATION OR VOLUNTEERING </w:t>
      </w:r>
    </w:p>
    <w:p w14:paraId="2FDD6633" w14:textId="77777777" w:rsidR="00097A86" w:rsidRDefault="00097A86" w:rsidP="00097A86">
      <w:pPr>
        <w:pStyle w:val="Default"/>
        <w:rPr>
          <w:sz w:val="23"/>
          <w:szCs w:val="23"/>
        </w:rPr>
      </w:pPr>
      <w:r>
        <w:rPr>
          <w:sz w:val="23"/>
          <w:szCs w:val="23"/>
        </w:rPr>
        <w:t xml:space="preserve">This is about the adult’s ability to contribute to society and apply themselves to the stated activity </w:t>
      </w:r>
    </w:p>
    <w:p w14:paraId="5BA67BBB" w14:textId="77777777" w:rsidR="00097A86" w:rsidRDefault="00097A86" w:rsidP="00097A86">
      <w:pPr>
        <w:pStyle w:val="Default"/>
        <w:rPr>
          <w:sz w:val="23"/>
          <w:szCs w:val="23"/>
        </w:rPr>
      </w:pPr>
      <w:r>
        <w:rPr>
          <w:b/>
          <w:bCs/>
          <w:i/>
          <w:iCs/>
          <w:sz w:val="23"/>
          <w:szCs w:val="23"/>
        </w:rPr>
        <w:t xml:space="preserve">Elevated risks giving rise to health needs include: </w:t>
      </w:r>
    </w:p>
    <w:p w14:paraId="1CE5A088" w14:textId="77777777" w:rsidR="00097A86" w:rsidRDefault="00097A86" w:rsidP="00097A86">
      <w:pPr>
        <w:pStyle w:val="Default"/>
        <w:numPr>
          <w:ilvl w:val="0"/>
          <w:numId w:val="39"/>
        </w:numPr>
        <w:rPr>
          <w:sz w:val="23"/>
          <w:szCs w:val="23"/>
        </w:rPr>
      </w:pPr>
      <w:r>
        <w:rPr>
          <w:sz w:val="23"/>
          <w:szCs w:val="23"/>
        </w:rPr>
        <w:t xml:space="preserve">Management of risks related to a person’s behaviours of concern </w:t>
      </w:r>
    </w:p>
    <w:p w14:paraId="304C54F4" w14:textId="77777777" w:rsidR="00097A86" w:rsidRDefault="00097A86" w:rsidP="00097A86">
      <w:pPr>
        <w:pStyle w:val="Default"/>
        <w:rPr>
          <w:sz w:val="23"/>
          <w:szCs w:val="23"/>
        </w:rPr>
      </w:pPr>
    </w:p>
    <w:p w14:paraId="7B63DC6B" w14:textId="2AF96DB4" w:rsidR="00097A86" w:rsidRPr="00097A86" w:rsidRDefault="00097A86" w:rsidP="00097A86">
      <w:pPr>
        <w:pStyle w:val="Default"/>
        <w:rPr>
          <w:i/>
          <w:iCs/>
          <w:sz w:val="23"/>
          <w:szCs w:val="23"/>
        </w:rPr>
      </w:pPr>
      <w:r w:rsidRPr="00097A86">
        <w:rPr>
          <w:b/>
          <w:bCs/>
          <w:i/>
          <w:iCs/>
          <w:sz w:val="23"/>
          <w:szCs w:val="23"/>
        </w:rPr>
        <w:t xml:space="preserve">MAKING USE OF NECESSARY FACILITIES OR SERVICES IN THE LOCAL COMMUNITY </w:t>
      </w:r>
    </w:p>
    <w:p w14:paraId="410BF586" w14:textId="77777777" w:rsidR="00097A86" w:rsidRDefault="00097A86" w:rsidP="00097A86">
      <w:pPr>
        <w:pStyle w:val="Default"/>
        <w:rPr>
          <w:sz w:val="23"/>
          <w:szCs w:val="23"/>
        </w:rPr>
      </w:pPr>
      <w:r>
        <w:rPr>
          <w:sz w:val="23"/>
          <w:szCs w:val="23"/>
        </w:rPr>
        <w:t xml:space="preserve">This is about the adult’s ability to get around in the community safely and use facilities such as public transport, shops or recreational facilities. </w:t>
      </w:r>
    </w:p>
    <w:p w14:paraId="02D6EAE1" w14:textId="77777777" w:rsidR="00097A86" w:rsidRDefault="00097A86" w:rsidP="00097A86">
      <w:pPr>
        <w:pStyle w:val="Default"/>
        <w:rPr>
          <w:sz w:val="23"/>
          <w:szCs w:val="23"/>
        </w:rPr>
      </w:pPr>
      <w:r>
        <w:rPr>
          <w:b/>
          <w:bCs/>
          <w:i/>
          <w:iCs/>
          <w:sz w:val="23"/>
          <w:szCs w:val="23"/>
        </w:rPr>
        <w:t xml:space="preserve">Elevated risks giving rise to health needs include: </w:t>
      </w:r>
    </w:p>
    <w:p w14:paraId="09FD5B03" w14:textId="77777777" w:rsidR="00097A86" w:rsidRDefault="00097A86" w:rsidP="00097A86">
      <w:pPr>
        <w:pStyle w:val="Default"/>
        <w:numPr>
          <w:ilvl w:val="0"/>
          <w:numId w:val="40"/>
        </w:numPr>
        <w:rPr>
          <w:sz w:val="23"/>
          <w:szCs w:val="23"/>
        </w:rPr>
      </w:pPr>
      <w:r>
        <w:rPr>
          <w:sz w:val="23"/>
          <w:szCs w:val="23"/>
        </w:rPr>
        <w:t xml:space="preserve">Management of risks related to a person’s behaviours of concern </w:t>
      </w:r>
    </w:p>
    <w:p w14:paraId="242CFA76" w14:textId="77777777" w:rsidR="00097A86" w:rsidRDefault="00097A86" w:rsidP="004F2FCA">
      <w:pPr>
        <w:jc w:val="both"/>
        <w:rPr>
          <w:rFonts w:ascii="Arial" w:hAnsi="Arial" w:cs="Arial"/>
        </w:rPr>
      </w:pPr>
    </w:p>
    <w:p w14:paraId="338A84D2" w14:textId="1A2DC6BD" w:rsidR="002236D2" w:rsidRDefault="002236D2" w:rsidP="004F2FCA">
      <w:pPr>
        <w:jc w:val="both"/>
        <w:rPr>
          <w:rFonts w:ascii="Arial" w:hAnsi="Arial" w:cs="Arial"/>
          <w:b/>
          <w:bCs/>
        </w:rPr>
      </w:pPr>
      <w:r w:rsidRPr="002236D2">
        <w:rPr>
          <w:rFonts w:ascii="Arial" w:hAnsi="Arial" w:cs="Arial"/>
          <w:b/>
          <w:bCs/>
        </w:rPr>
        <w:t>ELIGIBLITY OUTCOMES RELATING TO HELATH CARE ELIGIBLITY</w:t>
      </w:r>
    </w:p>
    <w:p w14:paraId="11D196AF" w14:textId="249C9AA2" w:rsidR="002236D2" w:rsidRPr="002236D2" w:rsidRDefault="002236D2" w:rsidP="004F2FCA">
      <w:pPr>
        <w:jc w:val="both"/>
        <w:rPr>
          <w:rFonts w:ascii="Arial" w:hAnsi="Arial" w:cs="Arial"/>
          <w:b/>
          <w:bCs/>
        </w:rPr>
      </w:pPr>
      <w:r w:rsidRPr="002236D2">
        <w:rPr>
          <w:rFonts w:ascii="Arial" w:hAnsi="Arial" w:cs="Arial"/>
          <w:b/>
          <w:bCs/>
          <w:sz w:val="23"/>
          <w:szCs w:val="23"/>
        </w:rPr>
        <w:t>Prevention, treatment and symptom control (drugs, medication and pain management)</w:t>
      </w:r>
    </w:p>
    <w:p w14:paraId="164A0645" w14:textId="77777777" w:rsidR="002236D2" w:rsidRDefault="002236D2" w:rsidP="002236D2">
      <w:pPr>
        <w:pStyle w:val="Default"/>
        <w:rPr>
          <w:sz w:val="23"/>
          <w:szCs w:val="23"/>
        </w:rPr>
      </w:pPr>
      <w:r>
        <w:rPr>
          <w:sz w:val="23"/>
          <w:szCs w:val="23"/>
        </w:rPr>
        <w:t xml:space="preserve">Prevention of illness, treatment and symptom control are the core business of the NHS, under sections 1 and 3 of the Health Act. They form no part of the eligibility criteria and do not reflect social care needs. </w:t>
      </w:r>
    </w:p>
    <w:p w14:paraId="30DF4BCD" w14:textId="77777777" w:rsidR="002236D2" w:rsidRDefault="002236D2" w:rsidP="002236D2">
      <w:pPr>
        <w:pStyle w:val="Default"/>
        <w:rPr>
          <w:sz w:val="23"/>
          <w:szCs w:val="23"/>
        </w:rPr>
      </w:pPr>
      <w:r>
        <w:rPr>
          <w:sz w:val="23"/>
          <w:szCs w:val="23"/>
        </w:rPr>
        <w:t xml:space="preserve">All of the following reflect health needs: </w:t>
      </w:r>
    </w:p>
    <w:p w14:paraId="016BBCEF" w14:textId="77777777" w:rsidR="002236D2" w:rsidRDefault="002236D2" w:rsidP="002236D2">
      <w:pPr>
        <w:pStyle w:val="Default"/>
        <w:numPr>
          <w:ilvl w:val="0"/>
          <w:numId w:val="41"/>
        </w:numPr>
        <w:spacing w:after="59"/>
        <w:rPr>
          <w:sz w:val="23"/>
          <w:szCs w:val="23"/>
        </w:rPr>
      </w:pPr>
      <w:r>
        <w:rPr>
          <w:sz w:val="23"/>
          <w:szCs w:val="23"/>
        </w:rPr>
        <w:t xml:space="preserve">Support (prompting/supervision) with routine medication that manages symptoms effectively with no side-effects </w:t>
      </w:r>
    </w:p>
    <w:p w14:paraId="1D3BDEEA" w14:textId="77777777" w:rsidR="002236D2" w:rsidRDefault="002236D2" w:rsidP="002236D2">
      <w:pPr>
        <w:pStyle w:val="Default"/>
        <w:numPr>
          <w:ilvl w:val="2"/>
          <w:numId w:val="42"/>
        </w:numPr>
        <w:spacing w:after="42"/>
        <w:ind w:left="1134"/>
        <w:rPr>
          <w:sz w:val="23"/>
          <w:szCs w:val="23"/>
        </w:rPr>
      </w:pPr>
      <w:r>
        <w:rPr>
          <w:sz w:val="23"/>
          <w:szCs w:val="23"/>
        </w:rPr>
        <w:t xml:space="preserve">Administration of medication required by Registered nurse </w:t>
      </w:r>
    </w:p>
    <w:p w14:paraId="1CE3726E" w14:textId="77777777" w:rsidR="002236D2" w:rsidRDefault="002236D2" w:rsidP="002236D2">
      <w:pPr>
        <w:pStyle w:val="Default"/>
        <w:numPr>
          <w:ilvl w:val="2"/>
          <w:numId w:val="42"/>
        </w:numPr>
        <w:ind w:left="1134"/>
        <w:rPr>
          <w:sz w:val="23"/>
          <w:szCs w:val="23"/>
        </w:rPr>
      </w:pPr>
      <w:r>
        <w:rPr>
          <w:sz w:val="23"/>
          <w:szCs w:val="23"/>
        </w:rPr>
        <w:t xml:space="preserve">Carer or care worker (whether specifically trained for the task or not) </w:t>
      </w:r>
    </w:p>
    <w:p w14:paraId="432940FB" w14:textId="77777777" w:rsidR="002236D2" w:rsidRDefault="002236D2" w:rsidP="002236D2">
      <w:pPr>
        <w:pStyle w:val="Default"/>
        <w:numPr>
          <w:ilvl w:val="1"/>
          <w:numId w:val="41"/>
        </w:numPr>
        <w:rPr>
          <w:sz w:val="23"/>
          <w:szCs w:val="23"/>
        </w:rPr>
      </w:pPr>
      <w:r>
        <w:rPr>
          <w:sz w:val="23"/>
          <w:szCs w:val="23"/>
        </w:rPr>
        <w:t xml:space="preserve">Problematic and non-problematic PRN regimes </w:t>
      </w:r>
    </w:p>
    <w:p w14:paraId="7365C8CA" w14:textId="11BAB7C8" w:rsidR="002236D2" w:rsidRDefault="002236D2" w:rsidP="002236D2">
      <w:pPr>
        <w:pStyle w:val="Default"/>
        <w:numPr>
          <w:ilvl w:val="2"/>
          <w:numId w:val="41"/>
        </w:numPr>
        <w:ind w:left="1134"/>
        <w:rPr>
          <w:sz w:val="23"/>
          <w:szCs w:val="23"/>
        </w:rPr>
      </w:pPr>
      <w:r>
        <w:rPr>
          <w:sz w:val="23"/>
          <w:szCs w:val="23"/>
        </w:rPr>
        <w:t xml:space="preserve">Include standby time for administering medication if not already present to meet social care needs </w:t>
      </w:r>
    </w:p>
    <w:p w14:paraId="5C32D61B" w14:textId="77777777" w:rsidR="002236D2" w:rsidRDefault="002236D2" w:rsidP="002236D2">
      <w:pPr>
        <w:pStyle w:val="Default"/>
        <w:numPr>
          <w:ilvl w:val="1"/>
          <w:numId w:val="41"/>
        </w:numPr>
        <w:rPr>
          <w:sz w:val="23"/>
          <w:szCs w:val="23"/>
        </w:rPr>
      </w:pPr>
      <w:r>
        <w:rPr>
          <w:sz w:val="23"/>
          <w:szCs w:val="23"/>
        </w:rPr>
        <w:t xml:space="preserve">Individuals who are compliant or non-compliant with regime </w:t>
      </w:r>
    </w:p>
    <w:p w14:paraId="254CA5F9" w14:textId="77777777" w:rsidR="002236D2" w:rsidRDefault="002236D2" w:rsidP="002236D2">
      <w:pPr>
        <w:pStyle w:val="Default"/>
        <w:numPr>
          <w:ilvl w:val="1"/>
          <w:numId w:val="41"/>
        </w:numPr>
        <w:rPr>
          <w:sz w:val="23"/>
          <w:szCs w:val="23"/>
        </w:rPr>
      </w:pPr>
      <w:r>
        <w:rPr>
          <w:sz w:val="23"/>
          <w:szCs w:val="23"/>
        </w:rPr>
        <w:t xml:space="preserve">Pain management </w:t>
      </w:r>
    </w:p>
    <w:p w14:paraId="088804F9" w14:textId="77777777" w:rsidR="002236D2" w:rsidRDefault="002236D2" w:rsidP="002236D2">
      <w:pPr>
        <w:pStyle w:val="Default"/>
        <w:numPr>
          <w:ilvl w:val="1"/>
          <w:numId w:val="41"/>
        </w:numPr>
        <w:rPr>
          <w:sz w:val="23"/>
          <w:szCs w:val="23"/>
        </w:rPr>
      </w:pPr>
      <w:r>
        <w:rPr>
          <w:sz w:val="23"/>
          <w:szCs w:val="23"/>
        </w:rPr>
        <w:t>Symptom control and monitoring (</w:t>
      </w:r>
      <w:proofErr w:type="spellStart"/>
      <w:r>
        <w:rPr>
          <w:sz w:val="23"/>
          <w:szCs w:val="23"/>
        </w:rPr>
        <w:t>eg</w:t>
      </w:r>
      <w:proofErr w:type="spellEnd"/>
      <w:r>
        <w:rPr>
          <w:sz w:val="23"/>
          <w:szCs w:val="23"/>
        </w:rPr>
        <w:t xml:space="preserve"> blood testing, observation) </w:t>
      </w:r>
    </w:p>
    <w:p w14:paraId="65336AD2" w14:textId="77777777" w:rsidR="002236D2" w:rsidRDefault="002236D2" w:rsidP="002236D2">
      <w:pPr>
        <w:pStyle w:val="Default"/>
        <w:rPr>
          <w:sz w:val="23"/>
          <w:szCs w:val="23"/>
        </w:rPr>
      </w:pPr>
    </w:p>
    <w:p w14:paraId="0095D422" w14:textId="77777777" w:rsidR="002236D2" w:rsidRPr="002236D2" w:rsidRDefault="002236D2" w:rsidP="002236D2">
      <w:pPr>
        <w:pStyle w:val="Default"/>
        <w:rPr>
          <w:sz w:val="23"/>
          <w:szCs w:val="23"/>
        </w:rPr>
      </w:pPr>
      <w:r w:rsidRPr="002236D2">
        <w:rPr>
          <w:sz w:val="23"/>
          <w:szCs w:val="23"/>
        </w:rPr>
        <w:t xml:space="preserve">Any support in this category provided by the local authority under the Care Act, </w:t>
      </w:r>
      <w:r w:rsidRPr="002236D2">
        <w:rPr>
          <w:i/>
          <w:iCs/>
          <w:sz w:val="23"/>
          <w:szCs w:val="23"/>
        </w:rPr>
        <w:t xml:space="preserve">must </w:t>
      </w:r>
      <w:r w:rsidRPr="002236D2">
        <w:rPr>
          <w:sz w:val="23"/>
          <w:szCs w:val="23"/>
        </w:rPr>
        <w:t xml:space="preserve">be under the permissions given by section 22. </w:t>
      </w:r>
    </w:p>
    <w:p w14:paraId="63573BC3" w14:textId="101537C3" w:rsidR="002236D2" w:rsidRDefault="002236D2" w:rsidP="002236D2">
      <w:pPr>
        <w:jc w:val="both"/>
        <w:rPr>
          <w:rFonts w:ascii="Arial" w:hAnsi="Arial" w:cs="Arial"/>
          <w:sz w:val="23"/>
          <w:szCs w:val="23"/>
        </w:rPr>
      </w:pPr>
      <w:r w:rsidRPr="002236D2">
        <w:rPr>
          <w:rFonts w:ascii="Arial" w:hAnsi="Arial" w:cs="Arial"/>
          <w:sz w:val="23"/>
          <w:szCs w:val="23"/>
        </w:rPr>
        <w:t>Consideration must always be given as to whether section 22 permits the local authority to meet these health needs as part of a charged-for Care Act package of care, and whether it is otherwise appropriate to do so</w:t>
      </w:r>
    </w:p>
    <w:p w14:paraId="630A855B" w14:textId="77777777" w:rsidR="002236D2" w:rsidRDefault="002236D2" w:rsidP="002236D2">
      <w:pPr>
        <w:pStyle w:val="Default"/>
        <w:rPr>
          <w:sz w:val="23"/>
          <w:szCs w:val="23"/>
        </w:rPr>
      </w:pPr>
      <w:r>
        <w:rPr>
          <w:b/>
          <w:bCs/>
          <w:sz w:val="23"/>
          <w:szCs w:val="23"/>
        </w:rPr>
        <w:t xml:space="preserve">Management of the airways/breathing difficulties </w:t>
      </w:r>
    </w:p>
    <w:p w14:paraId="25AAE547" w14:textId="77777777" w:rsidR="002236D2" w:rsidRDefault="002236D2" w:rsidP="002236D2">
      <w:pPr>
        <w:pStyle w:val="Default"/>
        <w:rPr>
          <w:sz w:val="23"/>
          <w:szCs w:val="23"/>
        </w:rPr>
      </w:pPr>
      <w:r>
        <w:rPr>
          <w:sz w:val="23"/>
          <w:szCs w:val="23"/>
        </w:rPr>
        <w:t xml:space="preserve">Managing and maintaining the airways will always reflect an elevated risk that is health in nature due to the immediacy and severity of the consequences of an obstruction. </w:t>
      </w:r>
    </w:p>
    <w:p w14:paraId="282A99E1" w14:textId="77777777" w:rsidR="002236D2" w:rsidRDefault="002236D2" w:rsidP="002236D2">
      <w:pPr>
        <w:pStyle w:val="Default"/>
        <w:rPr>
          <w:sz w:val="23"/>
          <w:szCs w:val="23"/>
        </w:rPr>
      </w:pPr>
      <w:r>
        <w:rPr>
          <w:sz w:val="23"/>
          <w:szCs w:val="23"/>
        </w:rPr>
        <w:t xml:space="preserve">Any preventative action, monitoring, management, control and treatment of any breathing problems will reflect a health need. </w:t>
      </w:r>
    </w:p>
    <w:p w14:paraId="055E125A" w14:textId="77777777" w:rsidR="002236D2" w:rsidRDefault="002236D2" w:rsidP="002236D2">
      <w:pPr>
        <w:pStyle w:val="Default"/>
        <w:rPr>
          <w:sz w:val="23"/>
          <w:szCs w:val="23"/>
        </w:rPr>
      </w:pPr>
      <w:r>
        <w:rPr>
          <w:sz w:val="23"/>
          <w:szCs w:val="23"/>
        </w:rPr>
        <w:t xml:space="preserve">This will include physiotherapy delegated treatment, such as chest massage and the need to reposition a person so as to maintain airways and effective breathing. </w:t>
      </w:r>
    </w:p>
    <w:p w14:paraId="04F2B05C" w14:textId="77777777" w:rsidR="002236D2" w:rsidRDefault="002236D2" w:rsidP="002236D2">
      <w:pPr>
        <w:pStyle w:val="Default"/>
        <w:rPr>
          <w:sz w:val="23"/>
          <w:szCs w:val="23"/>
        </w:rPr>
      </w:pPr>
      <w:r>
        <w:rPr>
          <w:sz w:val="23"/>
          <w:szCs w:val="23"/>
        </w:rPr>
        <w:t xml:space="preserve">Care Act support may be relevant in terms of achieving the identified eligibility outcomes. </w:t>
      </w:r>
    </w:p>
    <w:p w14:paraId="42AEAD57" w14:textId="77777777" w:rsidR="002236D2" w:rsidRDefault="002236D2" w:rsidP="002236D2">
      <w:pPr>
        <w:pStyle w:val="Default"/>
        <w:rPr>
          <w:b/>
          <w:bCs/>
          <w:sz w:val="23"/>
          <w:szCs w:val="23"/>
        </w:rPr>
      </w:pPr>
    </w:p>
    <w:p w14:paraId="6D646C98" w14:textId="172006B9" w:rsidR="002236D2" w:rsidRDefault="002236D2" w:rsidP="002236D2">
      <w:pPr>
        <w:pStyle w:val="Default"/>
        <w:rPr>
          <w:sz w:val="23"/>
          <w:szCs w:val="23"/>
        </w:rPr>
      </w:pPr>
      <w:r>
        <w:rPr>
          <w:b/>
          <w:bCs/>
          <w:sz w:val="23"/>
          <w:szCs w:val="23"/>
        </w:rPr>
        <w:t xml:space="preserve">Altered States of Consciousness </w:t>
      </w:r>
    </w:p>
    <w:p w14:paraId="07D8067F" w14:textId="40A705BE" w:rsidR="002236D2" w:rsidRPr="002236D2" w:rsidRDefault="002236D2" w:rsidP="002236D2">
      <w:pPr>
        <w:jc w:val="both"/>
        <w:rPr>
          <w:rFonts w:ascii="Arial" w:hAnsi="Arial" w:cs="Arial"/>
          <w:sz w:val="23"/>
          <w:szCs w:val="23"/>
        </w:rPr>
      </w:pPr>
      <w:r w:rsidRPr="002236D2">
        <w:rPr>
          <w:rFonts w:ascii="Arial" w:hAnsi="Arial" w:cs="Arial"/>
          <w:sz w:val="23"/>
          <w:szCs w:val="23"/>
        </w:rPr>
        <w:t>The risks presented in this category are outside the realm of social care due to the elevated risks flowing from loss of consciousness, including risks to the airways and injury.</w:t>
      </w:r>
    </w:p>
    <w:p w14:paraId="04EE6C26" w14:textId="77777777" w:rsidR="002236D2" w:rsidRDefault="002236D2" w:rsidP="002236D2">
      <w:pPr>
        <w:pStyle w:val="Default"/>
        <w:rPr>
          <w:sz w:val="23"/>
          <w:szCs w:val="23"/>
        </w:rPr>
      </w:pPr>
      <w:r>
        <w:rPr>
          <w:b/>
          <w:bCs/>
          <w:sz w:val="23"/>
          <w:szCs w:val="23"/>
        </w:rPr>
        <w:t xml:space="preserve">Managing the risk of injury (for example, through Challenging Behaviour or Falls.) </w:t>
      </w:r>
    </w:p>
    <w:p w14:paraId="49B793A5" w14:textId="77777777" w:rsidR="002236D2" w:rsidRDefault="002236D2" w:rsidP="002236D2">
      <w:pPr>
        <w:pStyle w:val="Default"/>
        <w:rPr>
          <w:sz w:val="23"/>
          <w:szCs w:val="23"/>
        </w:rPr>
      </w:pPr>
      <w:r>
        <w:rPr>
          <w:sz w:val="23"/>
          <w:szCs w:val="23"/>
        </w:rPr>
        <w:t xml:space="preserve">This includes prevention of an imminent risk of injury as well as responding to any incidents where the risk is ongoing. </w:t>
      </w:r>
    </w:p>
    <w:p w14:paraId="22A7F05E" w14:textId="77777777" w:rsidR="002236D2" w:rsidRDefault="002236D2" w:rsidP="002236D2">
      <w:pPr>
        <w:pStyle w:val="Default"/>
        <w:spacing w:after="32"/>
        <w:ind w:firstLine="720"/>
        <w:rPr>
          <w:sz w:val="23"/>
          <w:szCs w:val="23"/>
        </w:rPr>
      </w:pPr>
      <w:r>
        <w:rPr>
          <w:sz w:val="23"/>
          <w:szCs w:val="23"/>
        </w:rPr>
        <w:t xml:space="preserve">• Use of restraint, whether physical or chemical will always reflect a health need. Proportionate response required to an immediate risk of injury. </w:t>
      </w:r>
    </w:p>
    <w:p w14:paraId="1FBD0E4F" w14:textId="77777777" w:rsidR="002236D2" w:rsidRDefault="002236D2" w:rsidP="002236D2">
      <w:pPr>
        <w:pStyle w:val="Default"/>
        <w:ind w:firstLine="720"/>
        <w:rPr>
          <w:sz w:val="23"/>
          <w:szCs w:val="23"/>
        </w:rPr>
      </w:pPr>
      <w:r>
        <w:rPr>
          <w:sz w:val="23"/>
          <w:szCs w:val="23"/>
        </w:rPr>
        <w:t xml:space="preserve">• Standby time. (This is relevant in considering whether meeting the health need is incidental or ancillary to social care.) </w:t>
      </w:r>
    </w:p>
    <w:p w14:paraId="6A5A4188" w14:textId="77777777" w:rsidR="002236D2" w:rsidRDefault="002236D2" w:rsidP="002236D2">
      <w:pPr>
        <w:pStyle w:val="Default"/>
        <w:rPr>
          <w:b/>
          <w:bCs/>
          <w:sz w:val="23"/>
          <w:szCs w:val="23"/>
        </w:rPr>
      </w:pPr>
    </w:p>
    <w:p w14:paraId="29BA260C" w14:textId="4EF6BA6A" w:rsidR="002236D2" w:rsidRDefault="002236D2" w:rsidP="002236D2">
      <w:pPr>
        <w:pStyle w:val="Default"/>
        <w:rPr>
          <w:sz w:val="23"/>
          <w:szCs w:val="23"/>
        </w:rPr>
      </w:pPr>
      <w:r>
        <w:rPr>
          <w:b/>
          <w:bCs/>
          <w:sz w:val="23"/>
          <w:szCs w:val="23"/>
        </w:rPr>
        <w:t xml:space="preserve">Behaviour Domain </w:t>
      </w:r>
    </w:p>
    <w:p w14:paraId="6552631D" w14:textId="77777777" w:rsidR="002236D2" w:rsidRDefault="002236D2" w:rsidP="002236D2">
      <w:pPr>
        <w:pStyle w:val="Default"/>
        <w:rPr>
          <w:sz w:val="23"/>
          <w:szCs w:val="23"/>
        </w:rPr>
      </w:pPr>
      <w:r>
        <w:rPr>
          <w:sz w:val="23"/>
          <w:szCs w:val="23"/>
        </w:rPr>
        <w:lastRenderedPageBreak/>
        <w:t xml:space="preserve">The assessment of needs of an individual with serious behavioural issues should include specific consideration of the risk(s) to themselves, others or property with particular attention to aggression, self-harm and self-neglect and any other behaviour(s), irrespective of their living environment. </w:t>
      </w:r>
    </w:p>
    <w:p w14:paraId="24B137B0" w14:textId="77777777" w:rsidR="002236D2" w:rsidRDefault="002236D2" w:rsidP="002236D2">
      <w:pPr>
        <w:pStyle w:val="Default"/>
        <w:rPr>
          <w:sz w:val="23"/>
          <w:szCs w:val="23"/>
        </w:rPr>
      </w:pPr>
      <w:r>
        <w:rPr>
          <w:sz w:val="23"/>
          <w:szCs w:val="23"/>
        </w:rPr>
        <w:t xml:space="preserve">When approaching the behaviour domain, it is helpful to consider: </w:t>
      </w:r>
    </w:p>
    <w:p w14:paraId="3DB220D9" w14:textId="77777777" w:rsidR="002236D2" w:rsidRDefault="002236D2" w:rsidP="002236D2">
      <w:pPr>
        <w:pStyle w:val="Default"/>
        <w:numPr>
          <w:ilvl w:val="0"/>
          <w:numId w:val="45"/>
        </w:numPr>
        <w:spacing w:after="61"/>
        <w:rPr>
          <w:sz w:val="23"/>
          <w:szCs w:val="23"/>
        </w:rPr>
      </w:pPr>
      <w:r>
        <w:rPr>
          <w:sz w:val="23"/>
          <w:szCs w:val="23"/>
        </w:rPr>
        <w:t xml:space="preserve">An immediate risk of physical harm (injury) is a health need as it represents an elevated risk that does not come within social care outcomes </w:t>
      </w:r>
    </w:p>
    <w:p w14:paraId="75A2EA5D" w14:textId="77777777" w:rsidR="002236D2" w:rsidRDefault="002236D2" w:rsidP="002236D2">
      <w:pPr>
        <w:pStyle w:val="Default"/>
        <w:numPr>
          <w:ilvl w:val="0"/>
          <w:numId w:val="45"/>
        </w:numPr>
        <w:spacing w:after="61"/>
        <w:rPr>
          <w:sz w:val="23"/>
          <w:szCs w:val="23"/>
        </w:rPr>
      </w:pPr>
      <w:r>
        <w:rPr>
          <w:sz w:val="23"/>
          <w:szCs w:val="23"/>
        </w:rPr>
        <w:t xml:space="preserve">An immediate risk of self-harm (injury) is a health need as it represents an elevated risk that does not come within social care outcomes </w:t>
      </w:r>
    </w:p>
    <w:p w14:paraId="0605E135" w14:textId="77777777" w:rsidR="002236D2" w:rsidRDefault="002236D2" w:rsidP="002236D2">
      <w:pPr>
        <w:pStyle w:val="Default"/>
        <w:numPr>
          <w:ilvl w:val="0"/>
          <w:numId w:val="45"/>
        </w:numPr>
        <w:spacing w:after="61"/>
        <w:rPr>
          <w:sz w:val="23"/>
          <w:szCs w:val="23"/>
        </w:rPr>
      </w:pPr>
      <w:r>
        <w:rPr>
          <w:sz w:val="23"/>
          <w:szCs w:val="23"/>
        </w:rPr>
        <w:t xml:space="preserve">The risk of self-neglect could be health or social care depending on the circumstances </w:t>
      </w:r>
    </w:p>
    <w:p w14:paraId="2A9D65A1" w14:textId="77777777" w:rsidR="002236D2" w:rsidRDefault="002236D2" w:rsidP="002236D2">
      <w:pPr>
        <w:pStyle w:val="Default"/>
        <w:numPr>
          <w:ilvl w:val="0"/>
          <w:numId w:val="45"/>
        </w:numPr>
        <w:spacing w:after="61"/>
        <w:rPr>
          <w:sz w:val="23"/>
          <w:szCs w:val="23"/>
        </w:rPr>
      </w:pPr>
      <w:r>
        <w:rPr>
          <w:sz w:val="23"/>
          <w:szCs w:val="23"/>
        </w:rPr>
        <w:t xml:space="preserve">When assessing the severity and frequency/unpredictability level of risk, the National Framework approach to well-managed needs must be followed, namely that the level of risk created by the need must be considered as if the support provided were not available </w:t>
      </w:r>
      <w:proofErr w:type="spellStart"/>
      <w:r>
        <w:rPr>
          <w:sz w:val="23"/>
          <w:szCs w:val="23"/>
        </w:rPr>
        <w:t>ie</w:t>
      </w:r>
      <w:proofErr w:type="spellEnd"/>
      <w:r>
        <w:rPr>
          <w:sz w:val="23"/>
          <w:szCs w:val="23"/>
        </w:rPr>
        <w:t xml:space="preserve">. the “unmanaged risk” </w:t>
      </w:r>
    </w:p>
    <w:p w14:paraId="73508DE1" w14:textId="77777777" w:rsidR="002236D2" w:rsidRDefault="002236D2" w:rsidP="002236D2">
      <w:pPr>
        <w:pStyle w:val="Default"/>
        <w:numPr>
          <w:ilvl w:val="0"/>
          <w:numId w:val="45"/>
        </w:numPr>
        <w:spacing w:after="61"/>
        <w:rPr>
          <w:sz w:val="23"/>
          <w:szCs w:val="23"/>
        </w:rPr>
      </w:pPr>
      <w:r>
        <w:rPr>
          <w:sz w:val="23"/>
          <w:szCs w:val="23"/>
        </w:rPr>
        <w:t xml:space="preserve">Risk = risk to self, others or property </w:t>
      </w:r>
    </w:p>
    <w:p w14:paraId="745FDA02" w14:textId="77777777" w:rsidR="002236D2" w:rsidRDefault="002236D2" w:rsidP="002236D2">
      <w:pPr>
        <w:pStyle w:val="Default"/>
        <w:numPr>
          <w:ilvl w:val="0"/>
          <w:numId w:val="45"/>
        </w:numPr>
        <w:rPr>
          <w:sz w:val="23"/>
          <w:szCs w:val="23"/>
        </w:rPr>
      </w:pPr>
      <w:r>
        <w:rPr>
          <w:sz w:val="23"/>
          <w:szCs w:val="23"/>
        </w:rPr>
        <w:t xml:space="preserve">If retreat and return is required, the person should not be described as “compliant with care”. A high will be the more appropriate weighting as they will generally be considered as having “variable compliance but usually responsive to planned interventions”. As to whether this is health or social care will depend on the nature of the interventions involved. If retreat and return is required, details must be provided. (How frequently, how many times, any other interventions?) </w:t>
      </w:r>
    </w:p>
    <w:p w14:paraId="2F2D320D" w14:textId="77777777" w:rsidR="002236D2" w:rsidRDefault="002236D2" w:rsidP="002236D2">
      <w:pPr>
        <w:jc w:val="both"/>
        <w:rPr>
          <w:rFonts w:ascii="Arial" w:hAnsi="Arial" w:cs="Arial"/>
          <w:b/>
          <w:bCs/>
        </w:rPr>
      </w:pPr>
    </w:p>
    <w:p w14:paraId="7ECD75B6" w14:textId="77777777" w:rsidR="002236D2" w:rsidRPr="002236D2" w:rsidRDefault="002236D2" w:rsidP="002236D2">
      <w:pPr>
        <w:jc w:val="both"/>
        <w:rPr>
          <w:rFonts w:ascii="Arial" w:hAnsi="Arial" w:cs="Arial"/>
          <w:b/>
          <w:bCs/>
        </w:rPr>
      </w:pPr>
    </w:p>
    <w:sectPr w:rsidR="002236D2" w:rsidRPr="002236D2">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77F10" w14:textId="77777777" w:rsidR="000D32E3" w:rsidRDefault="000D32E3" w:rsidP="001C3518">
      <w:pPr>
        <w:spacing w:after="0" w:line="240" w:lineRule="auto"/>
      </w:pPr>
      <w:r>
        <w:separator/>
      </w:r>
    </w:p>
  </w:endnote>
  <w:endnote w:type="continuationSeparator" w:id="0">
    <w:p w14:paraId="1079E884" w14:textId="77777777" w:rsidR="000D32E3" w:rsidRDefault="000D32E3" w:rsidP="001C3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363939"/>
      <w:docPartObj>
        <w:docPartGallery w:val="Page Numbers (Bottom of Page)"/>
        <w:docPartUnique/>
      </w:docPartObj>
    </w:sdtPr>
    <w:sdtContent>
      <w:p w14:paraId="78C24E05" w14:textId="28B519D8" w:rsidR="00532553" w:rsidRDefault="00532553">
        <w:pPr>
          <w:pStyle w:val="Footer"/>
          <w:jc w:val="right"/>
        </w:pPr>
        <w:r>
          <w:fldChar w:fldCharType="begin"/>
        </w:r>
        <w:r>
          <w:instrText>PAGE   \* MERGEFORMAT</w:instrText>
        </w:r>
        <w:r>
          <w:fldChar w:fldCharType="separate"/>
        </w:r>
        <w:r>
          <w:t>2</w:t>
        </w:r>
        <w:r>
          <w:fldChar w:fldCharType="end"/>
        </w:r>
      </w:p>
    </w:sdtContent>
  </w:sdt>
  <w:p w14:paraId="5AAD54FD" w14:textId="77777777" w:rsidR="00AE0670" w:rsidRDefault="00AE06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04EE8" w14:textId="77777777" w:rsidR="000D32E3" w:rsidRDefault="000D32E3" w:rsidP="001C3518">
      <w:pPr>
        <w:spacing w:after="0" w:line="240" w:lineRule="auto"/>
      </w:pPr>
      <w:r>
        <w:separator/>
      </w:r>
    </w:p>
  </w:footnote>
  <w:footnote w:type="continuationSeparator" w:id="0">
    <w:p w14:paraId="0D364375" w14:textId="77777777" w:rsidR="000D32E3" w:rsidRDefault="000D32E3" w:rsidP="001C3518">
      <w:pPr>
        <w:spacing w:after="0" w:line="240" w:lineRule="auto"/>
      </w:pPr>
      <w:r>
        <w:continuationSeparator/>
      </w:r>
    </w:p>
  </w:footnote>
  <w:footnote w:id="1">
    <w:p w14:paraId="13257420" w14:textId="24807B71" w:rsidR="0031329B" w:rsidRDefault="0031329B">
      <w:pPr>
        <w:pStyle w:val="FootnoteText"/>
      </w:pPr>
      <w:r>
        <w:rPr>
          <w:rStyle w:val="FootnoteReference"/>
        </w:rPr>
        <w:footnoteRef/>
      </w:r>
      <w:r>
        <w:t xml:space="preserve"> </w:t>
      </w:r>
      <w:r w:rsidRPr="0031329B">
        <w:t>https://www.england.nhs.uk/healthcare/</w:t>
      </w:r>
    </w:p>
  </w:footnote>
  <w:footnote w:id="2">
    <w:p w14:paraId="5CA6678A" w14:textId="265573C7" w:rsidR="0031329B" w:rsidRDefault="0031329B">
      <w:pPr>
        <w:pStyle w:val="FootnoteText"/>
      </w:pPr>
      <w:r>
        <w:rPr>
          <w:rStyle w:val="FootnoteReference"/>
        </w:rPr>
        <w:footnoteRef/>
      </w:r>
      <w:r>
        <w:t xml:space="preserve"> </w:t>
      </w:r>
      <w:r w:rsidRPr="0031329B">
        <w:t>https://assets.publishing.service.gov.uk/media/5a7dcf2aed915d2ac884dafa/Care-Act-Guidance.pdf</w:t>
      </w:r>
    </w:p>
  </w:footnote>
  <w:footnote w:id="3">
    <w:p w14:paraId="4D496424" w14:textId="63284F78" w:rsidR="00815871" w:rsidRDefault="00815871">
      <w:pPr>
        <w:pStyle w:val="FootnoteText"/>
      </w:pPr>
      <w:r>
        <w:rPr>
          <w:rStyle w:val="FootnoteReference"/>
        </w:rPr>
        <w:footnoteRef/>
      </w:r>
      <w:r>
        <w:t xml:space="preserve"> </w:t>
      </w:r>
      <w:hyperlink r:id="rId1" w:history="1">
        <w:r w:rsidRPr="00815871">
          <w:rPr>
            <w:rStyle w:val="Hyperlink"/>
          </w:rPr>
          <w:t>Care Act 2014</w:t>
        </w:r>
      </w:hyperlink>
    </w:p>
  </w:footnote>
  <w:footnote w:id="4">
    <w:p w14:paraId="6F8FBAD8" w14:textId="29670A44" w:rsidR="007809E6" w:rsidRDefault="007809E6">
      <w:pPr>
        <w:pStyle w:val="FootnoteText"/>
      </w:pPr>
      <w:r>
        <w:rPr>
          <w:rStyle w:val="FootnoteReference"/>
        </w:rPr>
        <w:footnoteRef/>
      </w:r>
      <w:r>
        <w:t xml:space="preserve"> </w:t>
      </w:r>
      <w:r w:rsidRPr="007809E6">
        <w:t>https://www.gov.uk/government/publications/discharge-from-mental-health-inpatient-settings/discharge-from-mental-health-inpatient-settings?dm_i=21A8,8IW5Q,D03F54,Z9L6D,1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28087" w14:textId="539FFCAC" w:rsidR="001C3518" w:rsidRDefault="006B4198" w:rsidP="006B4198">
    <w:pPr>
      <w:pStyle w:val="Header"/>
      <w:tabs>
        <w:tab w:val="clear" w:pos="4513"/>
        <w:tab w:val="clear" w:pos="9026"/>
        <w:tab w:val="right" w:pos="7722"/>
      </w:tabs>
    </w:pPr>
    <w:r>
      <w:rPr>
        <w:noProof/>
      </w:rPr>
      <w:drawing>
        <wp:anchor distT="0" distB="0" distL="114300" distR="114300" simplePos="0" relativeHeight="251661312" behindDoc="0" locked="0" layoutInCell="1" allowOverlap="1" wp14:anchorId="3F7190B5" wp14:editId="19DDD9B8">
          <wp:simplePos x="0" y="0"/>
          <wp:positionH relativeFrom="column">
            <wp:posOffset>4466590</wp:posOffset>
          </wp:positionH>
          <wp:positionV relativeFrom="paragraph">
            <wp:posOffset>-391160</wp:posOffset>
          </wp:positionV>
          <wp:extent cx="1895475" cy="968375"/>
          <wp:effectExtent l="0" t="0" r="9525" b="3175"/>
          <wp:wrapTopAndBottom/>
          <wp:docPr id="160688653" name="Picture 3"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88653" name="Picture 3" descr="A close-up of a logo"/>
                  <pic:cNvPicPr/>
                </pic:nvPicPr>
                <pic:blipFill>
                  <a:blip r:embed="rId1">
                    <a:extLst>
                      <a:ext uri="{28A0092B-C50C-407E-A947-70E740481C1C}">
                        <a14:useLocalDpi xmlns:a14="http://schemas.microsoft.com/office/drawing/2010/main" val="0"/>
                      </a:ext>
                    </a:extLst>
                  </a:blip>
                  <a:stretch>
                    <a:fillRect/>
                  </a:stretch>
                </pic:blipFill>
                <pic:spPr bwMode="auto">
                  <a:xfrm>
                    <a:off x="0" y="0"/>
                    <a:ext cx="1895475" cy="968375"/>
                  </a:xfrm>
                  <a:prstGeom prst="rect">
                    <a:avLst/>
                  </a:prstGeom>
                  <a:noFill/>
                  <a:ln>
                    <a:noFill/>
                  </a:ln>
                </pic:spPr>
              </pic:pic>
            </a:graphicData>
          </a:graphic>
        </wp:anchor>
      </w:drawing>
    </w:r>
    <w:r w:rsidR="001C3518">
      <w:rPr>
        <w:b/>
        <w:bCs/>
        <w:noProof/>
      </w:rPr>
      <w:drawing>
        <wp:anchor distT="0" distB="0" distL="114300" distR="114300" simplePos="0" relativeHeight="251659264" behindDoc="1" locked="0" layoutInCell="1" allowOverlap="1" wp14:anchorId="0ECCC8EF" wp14:editId="0B9DF0CA">
          <wp:simplePos x="0" y="0"/>
          <wp:positionH relativeFrom="column">
            <wp:posOffset>-485775</wp:posOffset>
          </wp:positionH>
          <wp:positionV relativeFrom="paragraph">
            <wp:posOffset>-257810</wp:posOffset>
          </wp:positionV>
          <wp:extent cx="1212215" cy="609600"/>
          <wp:effectExtent l="0" t="0" r="6985" b="0"/>
          <wp:wrapTight wrapText="bothSides">
            <wp:wrapPolygon edited="0">
              <wp:start x="0" y="0"/>
              <wp:lineTo x="0" y="20925"/>
              <wp:lineTo x="21385" y="20925"/>
              <wp:lineTo x="21385" y="0"/>
              <wp:lineTo x="0" y="0"/>
            </wp:wrapPolygon>
          </wp:wrapTight>
          <wp:docPr id="1540177176" name="Picture 4" descr="A yellow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177176" name="Picture 4" descr="A yellow and grey logo&#10;&#10;AI-generated content may be incorrect."/>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212215" cy="6096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7CD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C0EE5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08E0C76"/>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444399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78E424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1EC9CD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68CD45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A8B69CD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171CF9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7FEADC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D44E728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D4B64C0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D841D0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E00C45AE"/>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E91F6C5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EABE1A7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ECE723C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EF56AD02"/>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F162F3B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F67862F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FA47850A"/>
    <w:multiLevelType w:val="hybridMultilevel"/>
    <w:tmpl w:val="8990FA22"/>
    <w:lvl w:ilvl="0" w:tplc="FFFFFFFF">
      <w:start w:val="1"/>
      <w:numFmt w:val="bullet"/>
      <w:lvlText w:val="•"/>
      <w:lvlJc w:val="left"/>
    </w:lvl>
    <w:lvl w:ilvl="1" w:tplc="02143203">
      <w:start w:val="1"/>
      <w:numFmt w:val="bullet"/>
      <w:lvlText w:val="•"/>
      <w:lvlJc w:val="left"/>
    </w:lvl>
    <w:lvl w:ilvl="2" w:tplc="08090001">
      <w:start w:val="1"/>
      <w:numFmt w:val="bullet"/>
      <w:lvlText w:val=""/>
      <w:lvlJc w:val="left"/>
      <w:pPr>
        <w:ind w:left="72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FB535C0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3A9238B"/>
    <w:multiLevelType w:val="hybridMultilevel"/>
    <w:tmpl w:val="A9E8B392"/>
    <w:lvl w:ilvl="0" w:tplc="FFFFFFFF">
      <w:start w:val="1"/>
      <w:numFmt w:val="bullet"/>
      <w:lvlText w:val="•"/>
      <w:lvlJc w:val="left"/>
    </w:lvl>
    <w:lvl w:ilvl="1" w:tplc="FFFFFFFF">
      <w:start w:val="1"/>
      <w:numFmt w:val="bullet"/>
      <w:lvlText w:val=""/>
      <w:lvlJc w:val="left"/>
      <w:pPr>
        <w:ind w:left="720" w:hanging="360"/>
      </w:pPr>
      <w:rPr>
        <w:rFonts w:ascii="Symbol" w:hAnsi="Symbol" w:hint="default"/>
      </w:rPr>
    </w:lvl>
    <w:lvl w:ilvl="2" w:tplc="08090001">
      <w:start w:val="1"/>
      <w:numFmt w:val="bullet"/>
      <w:lvlText w:val=""/>
      <w:lvlJc w:val="left"/>
      <w:pPr>
        <w:ind w:left="72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3B637C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4AC718D"/>
    <w:multiLevelType w:val="hybridMultilevel"/>
    <w:tmpl w:val="D6F06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532507B"/>
    <w:multiLevelType w:val="hybridMultilevel"/>
    <w:tmpl w:val="55167F24"/>
    <w:lvl w:ilvl="0" w:tplc="FFFFFFFF">
      <w:start w:val="1"/>
      <w:numFmt w:val="bullet"/>
      <w:lvlText w:val="•"/>
      <w:lvlJc w:val="left"/>
    </w:lvl>
    <w:lvl w:ilvl="1" w:tplc="08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1A6B376C"/>
    <w:multiLevelType w:val="hybridMultilevel"/>
    <w:tmpl w:val="EB941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0DF35C6"/>
    <w:multiLevelType w:val="hybridMultilevel"/>
    <w:tmpl w:val="748A5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AC03698"/>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2B395742"/>
    <w:multiLevelType w:val="hybridMultilevel"/>
    <w:tmpl w:val="3CE448CC"/>
    <w:lvl w:ilvl="0" w:tplc="FFFFFFFF">
      <w:start w:val="1"/>
      <w:numFmt w:val="bullet"/>
      <w:lvlText w:val="•"/>
      <w:lvlJc w:val="left"/>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08090001">
      <w:start w:val="1"/>
      <w:numFmt w:val="bullet"/>
      <w:lvlText w:val=""/>
      <w:lvlJc w:val="left"/>
      <w:pPr>
        <w:ind w:left="720" w:hanging="360"/>
      </w:pPr>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2BDB1E14"/>
    <w:multiLevelType w:val="hybridMultilevel"/>
    <w:tmpl w:val="2E9459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C2E7259"/>
    <w:multiLevelType w:val="hybridMultilevel"/>
    <w:tmpl w:val="094C2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CF6FCD1"/>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4104F22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42BFA91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46072AB3"/>
    <w:multiLevelType w:val="hybridMultilevel"/>
    <w:tmpl w:val="9A16C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91313A4"/>
    <w:multiLevelType w:val="hybridMultilevel"/>
    <w:tmpl w:val="380EDCE0"/>
    <w:lvl w:ilvl="0" w:tplc="6192897C">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4D2269B2"/>
    <w:multiLevelType w:val="hybridMultilevel"/>
    <w:tmpl w:val="C97C1B1A"/>
    <w:lvl w:ilvl="0" w:tplc="6192897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7103B9E"/>
    <w:multiLevelType w:val="hybridMultilevel"/>
    <w:tmpl w:val="D7B4BEA8"/>
    <w:lvl w:ilvl="0" w:tplc="6192897C">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5C2E2345"/>
    <w:multiLevelType w:val="hybridMultilevel"/>
    <w:tmpl w:val="A14452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40A9E4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67B31C95"/>
    <w:multiLevelType w:val="hybridMultilevel"/>
    <w:tmpl w:val="8248A08A"/>
    <w:lvl w:ilvl="0" w:tplc="FFFFFFFF">
      <w:start w:val="1"/>
      <w:numFmt w:val="bullet"/>
      <w:lvlText w:val="•"/>
      <w:lvlJc w:val="left"/>
    </w:lvl>
    <w:lvl w:ilvl="1" w:tplc="08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3DA34D3"/>
    <w:multiLevelType w:val="hybridMultilevel"/>
    <w:tmpl w:val="6EC85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DFD1DE"/>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DB4393D"/>
    <w:multiLevelType w:val="hybridMultilevel"/>
    <w:tmpl w:val="D0980496"/>
    <w:lvl w:ilvl="0" w:tplc="FFFFFFFF">
      <w:start w:val="1"/>
      <w:numFmt w:val="bullet"/>
      <w:lvlText w:val="•"/>
      <w:lvlJc w:val="left"/>
    </w:lvl>
    <w:lvl w:ilvl="1" w:tplc="FFFFFFFF">
      <w:start w:val="1"/>
      <w:numFmt w:val="bullet"/>
      <w:lvlText w:val="•"/>
      <w:lvlJc w:val="left"/>
    </w:lvl>
    <w:lvl w:ilvl="2" w:tplc="08090001">
      <w:start w:val="1"/>
      <w:numFmt w:val="bullet"/>
      <w:lvlText w:val=""/>
      <w:lvlJc w:val="left"/>
      <w:pPr>
        <w:ind w:left="72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50365819">
    <w:abstractNumId w:val="35"/>
  </w:num>
  <w:num w:numId="2" w16cid:durableId="174269519">
    <w:abstractNumId w:val="37"/>
  </w:num>
  <w:num w:numId="3" w16cid:durableId="1151141936">
    <w:abstractNumId w:val="36"/>
  </w:num>
  <w:num w:numId="4" w16cid:durableId="577178633">
    <w:abstractNumId w:val="38"/>
  </w:num>
  <w:num w:numId="5" w16cid:durableId="1956130668">
    <w:abstractNumId w:val="24"/>
  </w:num>
  <w:num w:numId="6" w16cid:durableId="949623728">
    <w:abstractNumId w:val="39"/>
  </w:num>
  <w:num w:numId="7" w16cid:durableId="271017701">
    <w:abstractNumId w:val="31"/>
  </w:num>
  <w:num w:numId="8" w16cid:durableId="447046579">
    <w:abstractNumId w:val="26"/>
  </w:num>
  <w:num w:numId="9" w16cid:durableId="1816527321">
    <w:abstractNumId w:val="27"/>
  </w:num>
  <w:num w:numId="10" w16cid:durableId="1279334225">
    <w:abstractNumId w:val="30"/>
  </w:num>
  <w:num w:numId="11" w16cid:durableId="24328990">
    <w:abstractNumId w:val="13"/>
  </w:num>
  <w:num w:numId="12" w16cid:durableId="570115262">
    <w:abstractNumId w:val="8"/>
  </w:num>
  <w:num w:numId="13" w16cid:durableId="901065706">
    <w:abstractNumId w:val="16"/>
  </w:num>
  <w:num w:numId="14" w16cid:durableId="1766076382">
    <w:abstractNumId w:val="21"/>
  </w:num>
  <w:num w:numId="15" w16cid:durableId="437483171">
    <w:abstractNumId w:val="32"/>
  </w:num>
  <w:num w:numId="16" w16cid:durableId="182477109">
    <w:abstractNumId w:val="7"/>
  </w:num>
  <w:num w:numId="17" w16cid:durableId="90585637">
    <w:abstractNumId w:val="18"/>
  </w:num>
  <w:num w:numId="18" w16cid:durableId="1556938893">
    <w:abstractNumId w:val="10"/>
  </w:num>
  <w:num w:numId="19" w16cid:durableId="1291594055">
    <w:abstractNumId w:val="0"/>
  </w:num>
  <w:num w:numId="20" w16cid:durableId="813528136">
    <w:abstractNumId w:val="14"/>
  </w:num>
  <w:num w:numId="21" w16cid:durableId="1414815224">
    <w:abstractNumId w:val="25"/>
  </w:num>
  <w:num w:numId="22" w16cid:durableId="1001615349">
    <w:abstractNumId w:val="22"/>
  </w:num>
  <w:num w:numId="23" w16cid:durableId="1263077193">
    <w:abstractNumId w:val="29"/>
  </w:num>
  <w:num w:numId="24" w16cid:durableId="508913947">
    <w:abstractNumId w:val="28"/>
  </w:num>
  <w:num w:numId="25" w16cid:durableId="1916354097">
    <w:abstractNumId w:val="3"/>
  </w:num>
  <w:num w:numId="26" w16cid:durableId="458453851">
    <w:abstractNumId w:val="5"/>
  </w:num>
  <w:num w:numId="27" w16cid:durableId="1097674209">
    <w:abstractNumId w:val="1"/>
  </w:num>
  <w:num w:numId="28" w16cid:durableId="1721786908">
    <w:abstractNumId w:val="43"/>
  </w:num>
  <w:num w:numId="29" w16cid:durableId="694693322">
    <w:abstractNumId w:val="15"/>
  </w:num>
  <w:num w:numId="30" w16cid:durableId="1685132223">
    <w:abstractNumId w:val="2"/>
  </w:num>
  <w:num w:numId="31" w16cid:durableId="1118182571">
    <w:abstractNumId w:val="23"/>
  </w:num>
  <w:num w:numId="32" w16cid:durableId="263618356">
    <w:abstractNumId w:val="12"/>
  </w:num>
  <w:num w:numId="33" w16cid:durableId="1226140059">
    <w:abstractNumId w:val="6"/>
  </w:num>
  <w:num w:numId="34" w16cid:durableId="882864443">
    <w:abstractNumId w:val="41"/>
  </w:num>
  <w:num w:numId="35" w16cid:durableId="602495654">
    <w:abstractNumId w:val="17"/>
  </w:num>
  <w:num w:numId="36" w16cid:durableId="1465080979">
    <w:abstractNumId w:val="4"/>
  </w:num>
  <w:num w:numId="37" w16cid:durableId="772088243">
    <w:abstractNumId w:val="34"/>
  </w:num>
  <w:num w:numId="38" w16cid:durableId="1821384184">
    <w:abstractNumId w:val="40"/>
  </w:num>
  <w:num w:numId="39" w16cid:durableId="1760835408">
    <w:abstractNumId w:val="33"/>
  </w:num>
  <w:num w:numId="40" w16cid:durableId="684020024">
    <w:abstractNumId w:val="19"/>
  </w:num>
  <w:num w:numId="41" w16cid:durableId="210464638">
    <w:abstractNumId w:val="20"/>
  </w:num>
  <w:num w:numId="42" w16cid:durableId="709917786">
    <w:abstractNumId w:val="44"/>
  </w:num>
  <w:num w:numId="43" w16cid:durableId="1491947522">
    <w:abstractNumId w:val="11"/>
  </w:num>
  <w:num w:numId="44" w16cid:durableId="724138971">
    <w:abstractNumId w:val="9"/>
  </w:num>
  <w:num w:numId="45" w16cid:durableId="132554721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A02"/>
    <w:rsid w:val="00014F65"/>
    <w:rsid w:val="00042682"/>
    <w:rsid w:val="00043298"/>
    <w:rsid w:val="00056464"/>
    <w:rsid w:val="00056E5A"/>
    <w:rsid w:val="0007022D"/>
    <w:rsid w:val="0007206F"/>
    <w:rsid w:val="00097A86"/>
    <w:rsid w:val="000A31B0"/>
    <w:rsid w:val="000B6096"/>
    <w:rsid w:val="000B6F31"/>
    <w:rsid w:val="000D32E3"/>
    <w:rsid w:val="000D4C21"/>
    <w:rsid w:val="000E398A"/>
    <w:rsid w:val="000F6FBB"/>
    <w:rsid w:val="001218CC"/>
    <w:rsid w:val="00135BD2"/>
    <w:rsid w:val="00140A79"/>
    <w:rsid w:val="00144BD6"/>
    <w:rsid w:val="00174536"/>
    <w:rsid w:val="00185455"/>
    <w:rsid w:val="00186D6D"/>
    <w:rsid w:val="00194A99"/>
    <w:rsid w:val="00196D95"/>
    <w:rsid w:val="001B2614"/>
    <w:rsid w:val="001C3518"/>
    <w:rsid w:val="001D555A"/>
    <w:rsid w:val="001E1498"/>
    <w:rsid w:val="001F02F0"/>
    <w:rsid w:val="001F72A1"/>
    <w:rsid w:val="00204317"/>
    <w:rsid w:val="002073BF"/>
    <w:rsid w:val="00214B20"/>
    <w:rsid w:val="00216C19"/>
    <w:rsid w:val="002236D2"/>
    <w:rsid w:val="002541E1"/>
    <w:rsid w:val="00255BCA"/>
    <w:rsid w:val="002603FE"/>
    <w:rsid w:val="002818E5"/>
    <w:rsid w:val="0028572D"/>
    <w:rsid w:val="002865F5"/>
    <w:rsid w:val="00286CB4"/>
    <w:rsid w:val="00287CD1"/>
    <w:rsid w:val="00290D90"/>
    <w:rsid w:val="002A0FCC"/>
    <w:rsid w:val="002A5CDD"/>
    <w:rsid w:val="002B59E1"/>
    <w:rsid w:val="002C2BB3"/>
    <w:rsid w:val="002D5691"/>
    <w:rsid w:val="002F5E12"/>
    <w:rsid w:val="00300793"/>
    <w:rsid w:val="003021B1"/>
    <w:rsid w:val="003117F3"/>
    <w:rsid w:val="0031329B"/>
    <w:rsid w:val="0031741B"/>
    <w:rsid w:val="00335887"/>
    <w:rsid w:val="00346728"/>
    <w:rsid w:val="00363C81"/>
    <w:rsid w:val="00375640"/>
    <w:rsid w:val="0038668A"/>
    <w:rsid w:val="00387C90"/>
    <w:rsid w:val="003B783D"/>
    <w:rsid w:val="003C3542"/>
    <w:rsid w:val="003C41F1"/>
    <w:rsid w:val="003C6A16"/>
    <w:rsid w:val="003D6465"/>
    <w:rsid w:val="003E1555"/>
    <w:rsid w:val="003E3E57"/>
    <w:rsid w:val="003E73B1"/>
    <w:rsid w:val="003F1D90"/>
    <w:rsid w:val="003F3AB1"/>
    <w:rsid w:val="003F5098"/>
    <w:rsid w:val="00400E63"/>
    <w:rsid w:val="00404D5B"/>
    <w:rsid w:val="004065BE"/>
    <w:rsid w:val="00406965"/>
    <w:rsid w:val="0041511F"/>
    <w:rsid w:val="00415F06"/>
    <w:rsid w:val="00422913"/>
    <w:rsid w:val="0043785C"/>
    <w:rsid w:val="00453DF8"/>
    <w:rsid w:val="00460A75"/>
    <w:rsid w:val="004A0D5D"/>
    <w:rsid w:val="004B208E"/>
    <w:rsid w:val="004C142D"/>
    <w:rsid w:val="004C4F1B"/>
    <w:rsid w:val="004F005D"/>
    <w:rsid w:val="004F2FCA"/>
    <w:rsid w:val="005167AA"/>
    <w:rsid w:val="00520C28"/>
    <w:rsid w:val="00532553"/>
    <w:rsid w:val="00533FF6"/>
    <w:rsid w:val="005721D4"/>
    <w:rsid w:val="005734E2"/>
    <w:rsid w:val="00587D30"/>
    <w:rsid w:val="005A00B2"/>
    <w:rsid w:val="005B7367"/>
    <w:rsid w:val="005E353B"/>
    <w:rsid w:val="005E6566"/>
    <w:rsid w:val="00602F03"/>
    <w:rsid w:val="00627161"/>
    <w:rsid w:val="00631896"/>
    <w:rsid w:val="006414DA"/>
    <w:rsid w:val="0065720F"/>
    <w:rsid w:val="00670303"/>
    <w:rsid w:val="00671960"/>
    <w:rsid w:val="006747C2"/>
    <w:rsid w:val="00680E05"/>
    <w:rsid w:val="00680E63"/>
    <w:rsid w:val="006811A0"/>
    <w:rsid w:val="00681EFF"/>
    <w:rsid w:val="006837BF"/>
    <w:rsid w:val="006934EE"/>
    <w:rsid w:val="00694558"/>
    <w:rsid w:val="00694BE0"/>
    <w:rsid w:val="006A0AD5"/>
    <w:rsid w:val="006A788D"/>
    <w:rsid w:val="006B4198"/>
    <w:rsid w:val="006B7ACB"/>
    <w:rsid w:val="006C7624"/>
    <w:rsid w:val="006D620A"/>
    <w:rsid w:val="006F10F0"/>
    <w:rsid w:val="006F401F"/>
    <w:rsid w:val="00701BCF"/>
    <w:rsid w:val="0071103B"/>
    <w:rsid w:val="007120BB"/>
    <w:rsid w:val="00716817"/>
    <w:rsid w:val="0073076F"/>
    <w:rsid w:val="00744D8F"/>
    <w:rsid w:val="00750C14"/>
    <w:rsid w:val="00750DE7"/>
    <w:rsid w:val="00767BE1"/>
    <w:rsid w:val="007809E6"/>
    <w:rsid w:val="00782471"/>
    <w:rsid w:val="007916EC"/>
    <w:rsid w:val="00793E3F"/>
    <w:rsid w:val="007B17F2"/>
    <w:rsid w:val="007B5045"/>
    <w:rsid w:val="007C70F7"/>
    <w:rsid w:val="007C71F0"/>
    <w:rsid w:val="007E70E8"/>
    <w:rsid w:val="008157B4"/>
    <w:rsid w:val="00815871"/>
    <w:rsid w:val="008378EC"/>
    <w:rsid w:val="0086401A"/>
    <w:rsid w:val="00872E7F"/>
    <w:rsid w:val="00883BEF"/>
    <w:rsid w:val="008A0633"/>
    <w:rsid w:val="008A0DE9"/>
    <w:rsid w:val="008B5505"/>
    <w:rsid w:val="00901122"/>
    <w:rsid w:val="00907FBC"/>
    <w:rsid w:val="009159C6"/>
    <w:rsid w:val="009333C8"/>
    <w:rsid w:val="00954861"/>
    <w:rsid w:val="00956991"/>
    <w:rsid w:val="00976009"/>
    <w:rsid w:val="009A56E6"/>
    <w:rsid w:val="009D7129"/>
    <w:rsid w:val="009E240E"/>
    <w:rsid w:val="00A07A70"/>
    <w:rsid w:val="00A25D4E"/>
    <w:rsid w:val="00A31936"/>
    <w:rsid w:val="00A35988"/>
    <w:rsid w:val="00A438BA"/>
    <w:rsid w:val="00A825DE"/>
    <w:rsid w:val="00A92AD7"/>
    <w:rsid w:val="00AA5FD1"/>
    <w:rsid w:val="00AC7492"/>
    <w:rsid w:val="00AD13F2"/>
    <w:rsid w:val="00AD3AC6"/>
    <w:rsid w:val="00AD7B6E"/>
    <w:rsid w:val="00AE0670"/>
    <w:rsid w:val="00B211BE"/>
    <w:rsid w:val="00B24AFE"/>
    <w:rsid w:val="00B362FB"/>
    <w:rsid w:val="00B43E64"/>
    <w:rsid w:val="00B5191A"/>
    <w:rsid w:val="00B6354F"/>
    <w:rsid w:val="00B71679"/>
    <w:rsid w:val="00BA0806"/>
    <w:rsid w:val="00BA6984"/>
    <w:rsid w:val="00BB699C"/>
    <w:rsid w:val="00BC6216"/>
    <w:rsid w:val="00BD1A26"/>
    <w:rsid w:val="00BD3F3E"/>
    <w:rsid w:val="00BD44F2"/>
    <w:rsid w:val="00BD5FF3"/>
    <w:rsid w:val="00BD7C25"/>
    <w:rsid w:val="00BE5DF6"/>
    <w:rsid w:val="00C0641D"/>
    <w:rsid w:val="00C06F6D"/>
    <w:rsid w:val="00C116F0"/>
    <w:rsid w:val="00C2008A"/>
    <w:rsid w:val="00C247C7"/>
    <w:rsid w:val="00C30AAB"/>
    <w:rsid w:val="00C315E3"/>
    <w:rsid w:val="00C35371"/>
    <w:rsid w:val="00C4383E"/>
    <w:rsid w:val="00C4459E"/>
    <w:rsid w:val="00C53467"/>
    <w:rsid w:val="00C626E8"/>
    <w:rsid w:val="00C67D5D"/>
    <w:rsid w:val="00C70BCA"/>
    <w:rsid w:val="00C76C21"/>
    <w:rsid w:val="00C81661"/>
    <w:rsid w:val="00C91C60"/>
    <w:rsid w:val="00CB13B6"/>
    <w:rsid w:val="00CC4A5B"/>
    <w:rsid w:val="00CD1BA9"/>
    <w:rsid w:val="00CD21B4"/>
    <w:rsid w:val="00CD3F5A"/>
    <w:rsid w:val="00CD5892"/>
    <w:rsid w:val="00CE02D8"/>
    <w:rsid w:val="00CF036D"/>
    <w:rsid w:val="00D07873"/>
    <w:rsid w:val="00D16FD2"/>
    <w:rsid w:val="00D174DB"/>
    <w:rsid w:val="00D37F11"/>
    <w:rsid w:val="00D502AD"/>
    <w:rsid w:val="00D870EF"/>
    <w:rsid w:val="00D943D1"/>
    <w:rsid w:val="00D95438"/>
    <w:rsid w:val="00DC0319"/>
    <w:rsid w:val="00DD5CF0"/>
    <w:rsid w:val="00DE4269"/>
    <w:rsid w:val="00DF3787"/>
    <w:rsid w:val="00E03444"/>
    <w:rsid w:val="00E1199C"/>
    <w:rsid w:val="00E26725"/>
    <w:rsid w:val="00E303A3"/>
    <w:rsid w:val="00E422E4"/>
    <w:rsid w:val="00E547F8"/>
    <w:rsid w:val="00E77183"/>
    <w:rsid w:val="00E777A9"/>
    <w:rsid w:val="00E81AF2"/>
    <w:rsid w:val="00E94382"/>
    <w:rsid w:val="00EB77BC"/>
    <w:rsid w:val="00EC4E62"/>
    <w:rsid w:val="00ED5993"/>
    <w:rsid w:val="00EE576D"/>
    <w:rsid w:val="00EF6091"/>
    <w:rsid w:val="00EF6E9A"/>
    <w:rsid w:val="00EF77E7"/>
    <w:rsid w:val="00EF7EA7"/>
    <w:rsid w:val="00F015D1"/>
    <w:rsid w:val="00F11A01"/>
    <w:rsid w:val="00F4125C"/>
    <w:rsid w:val="00F414FB"/>
    <w:rsid w:val="00F554A1"/>
    <w:rsid w:val="00F613BB"/>
    <w:rsid w:val="00F61592"/>
    <w:rsid w:val="00F65EF4"/>
    <w:rsid w:val="00F86331"/>
    <w:rsid w:val="00FA05D1"/>
    <w:rsid w:val="00FA2F49"/>
    <w:rsid w:val="00FA5A02"/>
    <w:rsid w:val="00FB2602"/>
    <w:rsid w:val="00FB6E77"/>
    <w:rsid w:val="00FC38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CCA79"/>
  <w15:chartTrackingRefBased/>
  <w15:docId w15:val="{F9E2E383-C148-40FA-9C17-BBCADD4E2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5A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5A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5A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5A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5A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5A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5A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5A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5A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A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5A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5A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5A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5A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5A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5A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5A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5A02"/>
    <w:rPr>
      <w:rFonts w:eastAsiaTheme="majorEastAsia" w:cstheme="majorBidi"/>
      <w:color w:val="272727" w:themeColor="text1" w:themeTint="D8"/>
    </w:rPr>
  </w:style>
  <w:style w:type="paragraph" w:styleId="Title">
    <w:name w:val="Title"/>
    <w:basedOn w:val="Normal"/>
    <w:next w:val="Normal"/>
    <w:link w:val="TitleChar"/>
    <w:uiPriority w:val="10"/>
    <w:qFormat/>
    <w:rsid w:val="00FA5A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5A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5A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5A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5A02"/>
    <w:pPr>
      <w:spacing w:before="160"/>
      <w:jc w:val="center"/>
    </w:pPr>
    <w:rPr>
      <w:i/>
      <w:iCs/>
      <w:color w:val="404040" w:themeColor="text1" w:themeTint="BF"/>
    </w:rPr>
  </w:style>
  <w:style w:type="character" w:customStyle="1" w:styleId="QuoteChar">
    <w:name w:val="Quote Char"/>
    <w:basedOn w:val="DefaultParagraphFont"/>
    <w:link w:val="Quote"/>
    <w:uiPriority w:val="29"/>
    <w:rsid w:val="00FA5A02"/>
    <w:rPr>
      <w:i/>
      <w:iCs/>
      <w:color w:val="404040" w:themeColor="text1" w:themeTint="BF"/>
    </w:rPr>
  </w:style>
  <w:style w:type="paragraph" w:styleId="ListParagraph">
    <w:name w:val="List Paragraph"/>
    <w:basedOn w:val="Normal"/>
    <w:uiPriority w:val="34"/>
    <w:qFormat/>
    <w:rsid w:val="00FA5A02"/>
    <w:pPr>
      <w:ind w:left="720"/>
      <w:contextualSpacing/>
    </w:pPr>
  </w:style>
  <w:style w:type="character" w:styleId="IntenseEmphasis">
    <w:name w:val="Intense Emphasis"/>
    <w:basedOn w:val="DefaultParagraphFont"/>
    <w:uiPriority w:val="21"/>
    <w:qFormat/>
    <w:rsid w:val="00FA5A02"/>
    <w:rPr>
      <w:i/>
      <w:iCs/>
      <w:color w:val="0F4761" w:themeColor="accent1" w:themeShade="BF"/>
    </w:rPr>
  </w:style>
  <w:style w:type="paragraph" w:styleId="IntenseQuote">
    <w:name w:val="Intense Quote"/>
    <w:basedOn w:val="Normal"/>
    <w:next w:val="Normal"/>
    <w:link w:val="IntenseQuoteChar"/>
    <w:uiPriority w:val="30"/>
    <w:qFormat/>
    <w:rsid w:val="00FA5A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5A02"/>
    <w:rPr>
      <w:i/>
      <w:iCs/>
      <w:color w:val="0F4761" w:themeColor="accent1" w:themeShade="BF"/>
    </w:rPr>
  </w:style>
  <w:style w:type="character" w:styleId="IntenseReference">
    <w:name w:val="Intense Reference"/>
    <w:basedOn w:val="DefaultParagraphFont"/>
    <w:uiPriority w:val="32"/>
    <w:qFormat/>
    <w:rsid w:val="00FA5A02"/>
    <w:rPr>
      <w:b/>
      <w:bCs/>
      <w:smallCaps/>
      <w:color w:val="0F4761" w:themeColor="accent1" w:themeShade="BF"/>
      <w:spacing w:val="5"/>
    </w:rPr>
  </w:style>
  <w:style w:type="paragraph" w:styleId="Header">
    <w:name w:val="header"/>
    <w:basedOn w:val="Normal"/>
    <w:link w:val="HeaderChar"/>
    <w:uiPriority w:val="99"/>
    <w:unhideWhenUsed/>
    <w:rsid w:val="001C35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518"/>
  </w:style>
  <w:style w:type="paragraph" w:styleId="Footer">
    <w:name w:val="footer"/>
    <w:basedOn w:val="Normal"/>
    <w:link w:val="FooterChar"/>
    <w:uiPriority w:val="99"/>
    <w:unhideWhenUsed/>
    <w:rsid w:val="001C35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518"/>
  </w:style>
  <w:style w:type="character" w:styleId="Hyperlink">
    <w:name w:val="Hyperlink"/>
    <w:basedOn w:val="DefaultParagraphFont"/>
    <w:uiPriority w:val="99"/>
    <w:unhideWhenUsed/>
    <w:rsid w:val="00CD5892"/>
    <w:rPr>
      <w:color w:val="467886" w:themeColor="hyperlink"/>
      <w:u w:val="single"/>
    </w:rPr>
  </w:style>
  <w:style w:type="character" w:styleId="UnresolvedMention">
    <w:name w:val="Unresolved Mention"/>
    <w:basedOn w:val="DefaultParagraphFont"/>
    <w:uiPriority w:val="99"/>
    <w:semiHidden/>
    <w:unhideWhenUsed/>
    <w:rsid w:val="00CD5892"/>
    <w:rPr>
      <w:color w:val="605E5C"/>
      <w:shd w:val="clear" w:color="auto" w:fill="E1DFDD"/>
    </w:rPr>
  </w:style>
  <w:style w:type="character" w:styleId="PlaceholderText">
    <w:name w:val="Placeholder Text"/>
    <w:basedOn w:val="DefaultParagraphFont"/>
    <w:uiPriority w:val="99"/>
    <w:semiHidden/>
    <w:rsid w:val="00B43E64"/>
    <w:rPr>
      <w:color w:val="666666"/>
    </w:rPr>
  </w:style>
  <w:style w:type="paragraph" w:styleId="FootnoteText">
    <w:name w:val="footnote text"/>
    <w:basedOn w:val="Normal"/>
    <w:link w:val="FootnoteTextChar"/>
    <w:uiPriority w:val="99"/>
    <w:semiHidden/>
    <w:unhideWhenUsed/>
    <w:rsid w:val="003132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329B"/>
    <w:rPr>
      <w:sz w:val="20"/>
      <w:szCs w:val="20"/>
    </w:rPr>
  </w:style>
  <w:style w:type="character" w:styleId="FootnoteReference">
    <w:name w:val="footnote reference"/>
    <w:basedOn w:val="DefaultParagraphFont"/>
    <w:uiPriority w:val="99"/>
    <w:semiHidden/>
    <w:unhideWhenUsed/>
    <w:rsid w:val="0031329B"/>
    <w:rPr>
      <w:vertAlign w:val="superscript"/>
    </w:rPr>
  </w:style>
  <w:style w:type="character" w:styleId="CommentReference">
    <w:name w:val="annotation reference"/>
    <w:basedOn w:val="DefaultParagraphFont"/>
    <w:uiPriority w:val="99"/>
    <w:semiHidden/>
    <w:unhideWhenUsed/>
    <w:rsid w:val="00A438BA"/>
    <w:rPr>
      <w:sz w:val="16"/>
      <w:szCs w:val="16"/>
    </w:rPr>
  </w:style>
  <w:style w:type="paragraph" w:styleId="CommentText">
    <w:name w:val="annotation text"/>
    <w:basedOn w:val="Normal"/>
    <w:link w:val="CommentTextChar"/>
    <w:uiPriority w:val="99"/>
    <w:unhideWhenUsed/>
    <w:rsid w:val="00A438BA"/>
    <w:pPr>
      <w:spacing w:line="240" w:lineRule="auto"/>
    </w:pPr>
    <w:rPr>
      <w:sz w:val="20"/>
      <w:szCs w:val="20"/>
    </w:rPr>
  </w:style>
  <w:style w:type="character" w:customStyle="1" w:styleId="CommentTextChar">
    <w:name w:val="Comment Text Char"/>
    <w:basedOn w:val="DefaultParagraphFont"/>
    <w:link w:val="CommentText"/>
    <w:uiPriority w:val="99"/>
    <w:rsid w:val="00A438BA"/>
    <w:rPr>
      <w:sz w:val="20"/>
      <w:szCs w:val="20"/>
    </w:rPr>
  </w:style>
  <w:style w:type="paragraph" w:styleId="CommentSubject">
    <w:name w:val="annotation subject"/>
    <w:basedOn w:val="CommentText"/>
    <w:next w:val="CommentText"/>
    <w:link w:val="CommentSubjectChar"/>
    <w:uiPriority w:val="99"/>
    <w:semiHidden/>
    <w:unhideWhenUsed/>
    <w:rsid w:val="00A438BA"/>
    <w:rPr>
      <w:b/>
      <w:bCs/>
    </w:rPr>
  </w:style>
  <w:style w:type="character" w:customStyle="1" w:styleId="CommentSubjectChar">
    <w:name w:val="Comment Subject Char"/>
    <w:basedOn w:val="CommentTextChar"/>
    <w:link w:val="CommentSubject"/>
    <w:uiPriority w:val="99"/>
    <w:semiHidden/>
    <w:rsid w:val="00A438BA"/>
    <w:rPr>
      <w:b/>
      <w:bCs/>
      <w:sz w:val="20"/>
      <w:szCs w:val="20"/>
    </w:rPr>
  </w:style>
  <w:style w:type="paragraph" w:customStyle="1" w:styleId="Default">
    <w:name w:val="Default"/>
    <w:rsid w:val="00097A86"/>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1983/20/content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lexcasepanel@bury.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mplexcasepanel@bury.gov.uk" TargetMode="External"/><Relationship Id="rId4" Type="http://schemas.openxmlformats.org/officeDocument/2006/relationships/settings" Target="settings.xml"/><Relationship Id="rId9" Type="http://schemas.openxmlformats.org/officeDocument/2006/relationships/hyperlink" Target="mailto:complexcasepanel@bury.gov.uk"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uk/ukpga/2014/23/section/22"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7.png@01D9B49A.B66A18B0" TargetMode="External"/><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C0B5704-DB31-4FD9-8CD6-CFE73EA3EA56}">
  <we:reference id="8c1c3d44-57e9-40d7-86e4-4adf61fea1dd" version="2.1.0.1" store="EXCatalog" storeType="EXCatalog"/>
  <we:alternateReferences>
    <we:reference id="WA104380122" version="2.1.0.1"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94ADE-95CE-48BC-AE65-26411A413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4553</Words>
  <Characters>25955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Thake, Hannah</dc:creator>
  <cp:keywords/>
  <dc:description/>
  <cp:lastModifiedBy>JACKSON, Catherine (NHS GREATER MANCHESTER ICB - 00V)</cp:lastModifiedBy>
  <cp:revision>3</cp:revision>
  <dcterms:created xsi:type="dcterms:W3CDTF">2025-06-17T15:04:00Z</dcterms:created>
  <dcterms:modified xsi:type="dcterms:W3CDTF">2025-06-17T15:10:00Z</dcterms:modified>
</cp:coreProperties>
</file>